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9282"/>
          <w:tab w:val="right" w:pos="9492"/>
          <w:tab w:val="clear" w:pos="4536"/>
          <w:tab w:val="clear" w:pos="9072"/>
        </w:tabs>
        <w:snapToGrid w:val="0"/>
        <w:rPr>
          <w:rFonts w:eastAsia="宋体"/>
          <w:sz w:val="22"/>
          <w:szCs w:val="22"/>
          <w:lang w:eastAsia="zh-CN"/>
        </w:rPr>
      </w:pPr>
      <w:r>
        <w:rPr>
          <w:sz w:val="22"/>
          <w:szCs w:val="22"/>
        </w:rPr>
        <w:t>3GPP TSG RAN WG1 Meeting #10</w:t>
      </w:r>
      <w:r>
        <w:rPr>
          <w:rFonts w:hint="eastAsia" w:eastAsia="宋体"/>
          <w:sz w:val="22"/>
          <w:szCs w:val="22"/>
          <w:lang w:eastAsia="zh-CN"/>
        </w:rPr>
        <w:t>6</w:t>
      </w:r>
      <w:r>
        <w:rPr>
          <w:sz w:val="22"/>
          <w:szCs w:val="22"/>
        </w:rPr>
        <w:t>-e</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2106536</w:t>
      </w:r>
    </w:p>
    <w:p>
      <w:pPr>
        <w:snapToGrid w:val="0"/>
        <w:spacing w:line="240" w:lineRule="auto"/>
        <w:rPr>
          <w:rFonts w:ascii="Arial" w:hAnsi="Arial"/>
          <w:b/>
          <w:sz w:val="22"/>
        </w:rPr>
      </w:pPr>
      <w:r>
        <w:rPr>
          <w:rFonts w:ascii="Arial" w:hAnsi="Arial"/>
          <w:b/>
          <w:sz w:val="22"/>
        </w:rPr>
        <w:t>e-Meeting</w:t>
      </w:r>
      <w:r>
        <w:rPr>
          <w:rFonts w:hint="eastAsia" w:ascii="Arial" w:hAnsi="Arial"/>
          <w:b/>
          <w:sz w:val="22"/>
          <w:lang w:eastAsia="ja-JP"/>
        </w:rPr>
        <w:t>,</w:t>
      </w:r>
      <w:r>
        <w:rPr>
          <w:rFonts w:ascii="Arial" w:hAnsi="Arial"/>
          <w:b/>
          <w:sz w:val="22"/>
          <w:lang w:eastAsia="ja-JP"/>
        </w:rPr>
        <w:t xml:space="preserve"> </w:t>
      </w:r>
      <w:r>
        <w:rPr>
          <w:rFonts w:hint="eastAsia" w:ascii="Arial" w:hAnsi="Arial"/>
          <w:b/>
          <w:sz w:val="22"/>
        </w:rPr>
        <w:t xml:space="preserve">Aug </w:t>
      </w:r>
      <w:r>
        <w:rPr>
          <w:rFonts w:hint="eastAsia" w:ascii="Arial" w:hAnsi="Arial"/>
          <w:b/>
          <w:sz w:val="22"/>
          <w:lang w:eastAsia="ja-JP"/>
        </w:rPr>
        <w:t>1</w:t>
      </w:r>
      <w:r>
        <w:rPr>
          <w:rFonts w:hint="eastAsia" w:ascii="Arial" w:hAnsi="Arial"/>
          <w:b/>
          <w:sz w:val="22"/>
        </w:rPr>
        <w:t>6</w:t>
      </w:r>
      <w:r>
        <w:rPr>
          <w:rFonts w:hint="eastAsia" w:ascii="Arial" w:hAnsi="Arial"/>
          <w:b/>
          <w:sz w:val="22"/>
          <w:vertAlign w:val="superscript"/>
          <w:lang w:eastAsia="ja-JP"/>
        </w:rPr>
        <w:t>th</w:t>
      </w:r>
      <w:r>
        <w:rPr>
          <w:rFonts w:hint="eastAsia" w:ascii="Arial" w:hAnsi="Arial"/>
          <w:b/>
          <w:sz w:val="22"/>
          <w:lang w:eastAsia="ja-JP"/>
        </w:rPr>
        <w:t xml:space="preserve"> –</w:t>
      </w:r>
      <w:r>
        <w:rPr>
          <w:rFonts w:hint="eastAsia" w:ascii="Arial" w:hAnsi="Arial"/>
          <w:b/>
          <w:sz w:val="22"/>
        </w:rPr>
        <w:t xml:space="preserve"> 27</w:t>
      </w:r>
      <w:r>
        <w:rPr>
          <w:rFonts w:hint="eastAsia" w:ascii="Arial" w:hAnsi="Arial"/>
          <w:b/>
          <w:sz w:val="22"/>
          <w:vertAlign w:val="superscript"/>
        </w:rPr>
        <w:t>th</w:t>
      </w:r>
      <w:r>
        <w:rPr>
          <w:rFonts w:hint="eastAsia" w:ascii="Arial" w:hAnsi="Arial"/>
          <w:b/>
          <w:sz w:val="22"/>
          <w:lang w:eastAsia="ja-JP"/>
        </w:rPr>
        <w:t>, 202</w:t>
      </w:r>
      <w:r>
        <w:rPr>
          <w:rFonts w:hint="eastAsia" w:ascii="Arial" w:hAnsi="Arial"/>
          <w:b/>
          <w:sz w:val="22"/>
        </w:rPr>
        <w:t>1</w:t>
      </w:r>
    </w:p>
    <w:p>
      <w:pPr>
        <w:pStyle w:val="21"/>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21"/>
        <w:tabs>
          <w:tab w:val="left" w:pos="1800"/>
        </w:tabs>
        <w:snapToGrid w:val="0"/>
        <w:ind w:left="1840" w:hanging="1840"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eastAsia="宋体"/>
          <w:sz w:val="22"/>
          <w:szCs w:val="22"/>
          <w:lang w:eastAsia="zh-CN"/>
        </w:rPr>
        <w:t>Discussion on accumulated closed loop power control for BWP switching</w:t>
      </w:r>
    </w:p>
    <w:p>
      <w:pPr>
        <w:pStyle w:val="21"/>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7.1</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keepNext/>
        <w:widowControl w:val="0"/>
        <w:numPr>
          <w:ilvl w:val="0"/>
          <w:numId w:val="5"/>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Introduction</w:t>
      </w:r>
    </w:p>
    <w:p>
      <w:pPr>
        <w:snapToGrid w:val="0"/>
        <w:spacing w:before="120" w:after="120" w:afterLines="50" w:line="288" w:lineRule="auto"/>
        <w:jc w:val="both"/>
        <w:rPr>
          <w:rFonts w:eastAsia="微软雅黑"/>
          <w:szCs w:val="20"/>
        </w:rPr>
      </w:pPr>
      <w:r>
        <w:rPr>
          <w:rFonts w:hint="eastAsia" w:eastAsia="微软雅黑"/>
          <w:szCs w:val="20"/>
        </w:rPr>
        <w:t>In this contribution, we discuss</w:t>
      </w:r>
      <w:r>
        <w:rPr>
          <w:rFonts w:eastAsia="微软雅黑"/>
          <w:szCs w:val="20"/>
        </w:rPr>
        <w:t xml:space="preserve"> </w:t>
      </w:r>
      <w:r>
        <w:rPr>
          <w:rFonts w:hint="eastAsia" w:eastAsia="微软雅黑"/>
          <w:szCs w:val="20"/>
        </w:rPr>
        <w:t xml:space="preserve">the issue about accumulated closed loop power control for PUSCH, PUCCH, or SRS transmission in the case of BWP switching. </w:t>
      </w:r>
      <w:r>
        <w:rPr>
          <w:rFonts w:eastAsia="微软雅黑"/>
          <w:szCs w:val="20"/>
        </w:rPr>
        <w:t xml:space="preserve">A recommended </w:t>
      </w:r>
      <w:r>
        <w:rPr>
          <w:rFonts w:hint="eastAsia" w:eastAsia="微软雅黑"/>
          <w:szCs w:val="20"/>
        </w:rPr>
        <w:t xml:space="preserve">solution </w:t>
      </w:r>
      <w:r>
        <w:rPr>
          <w:rFonts w:eastAsia="微软雅黑"/>
          <w:szCs w:val="20"/>
        </w:rPr>
        <w:t xml:space="preserve">is </w:t>
      </w:r>
      <w:r>
        <w:rPr>
          <w:rFonts w:hint="eastAsia" w:eastAsia="微软雅黑"/>
          <w:szCs w:val="20"/>
        </w:rPr>
        <w:t>provided</w:t>
      </w:r>
      <w:r>
        <w:rPr>
          <w:rFonts w:eastAsia="微软雅黑"/>
          <w:szCs w:val="20"/>
        </w:rPr>
        <w:t xml:space="preserve"> herein</w:t>
      </w:r>
      <w:r>
        <w:rPr>
          <w:rFonts w:hint="eastAsia" w:eastAsia="微软雅黑"/>
          <w:szCs w:val="20"/>
        </w:rPr>
        <w:t>, and text proposal for the preferred solution can be found in a companion CR document</w:t>
      </w:r>
      <w:r>
        <w:rPr>
          <w:rFonts w:eastAsia="微软雅黑"/>
          <w:szCs w:val="20"/>
        </w:rPr>
        <w:t xml:space="preserve"> </w:t>
      </w:r>
      <w:r>
        <w:rPr>
          <w:rFonts w:hint="eastAsia" w:eastAsia="微软雅黑"/>
          <w:szCs w:val="20"/>
        </w:rPr>
        <w:t>[2].</w:t>
      </w:r>
    </w:p>
    <w:p>
      <w:pPr>
        <w:keepNext/>
        <w:widowControl w:val="0"/>
        <w:numPr>
          <w:ilvl w:val="0"/>
          <w:numId w:val="5"/>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Discussion</w:t>
      </w:r>
    </w:p>
    <w:p>
      <w:pPr>
        <w:snapToGrid w:val="0"/>
        <w:spacing w:before="120" w:after="120" w:afterLines="50" w:line="288" w:lineRule="auto"/>
        <w:jc w:val="both"/>
        <w:rPr>
          <w:rFonts w:eastAsia="微软雅黑"/>
          <w:szCs w:val="20"/>
        </w:rPr>
      </w:pPr>
      <w:r>
        <w:rPr>
          <w:rFonts w:hint="eastAsia" w:eastAsia="微软雅黑"/>
          <w:szCs w:val="20"/>
        </w:rPr>
        <w:t>In current NR spec</w:t>
      </w:r>
      <w:r>
        <w:rPr>
          <w:rFonts w:eastAsia="微软雅黑"/>
          <w:szCs w:val="20"/>
        </w:rPr>
        <w:t xml:space="preserve"> </w:t>
      </w:r>
      <w:r>
        <w:rPr>
          <w:rFonts w:hint="eastAsia" w:eastAsia="微软雅黑"/>
          <w:szCs w:val="20"/>
        </w:rPr>
        <w:t xml:space="preserve">[1], power control parameters, such as parameters for open loop power control (e.g. P0, alpha), for closed loop power control (e.g. number of closed loop power control loops), and for path loss (e.g. PL-RS, i.e. DL RS for path-loss </w:t>
      </w:r>
      <w:r>
        <w:rPr>
          <w:rFonts w:eastAsia="微软雅黑"/>
          <w:szCs w:val="20"/>
        </w:rPr>
        <w:t>measurement</w:t>
      </w:r>
      <w:r>
        <w:rPr>
          <w:rFonts w:hint="eastAsia" w:eastAsia="微软雅黑"/>
          <w:szCs w:val="20"/>
        </w:rPr>
        <w:t xml:space="preserve">), are configured per BWP </w:t>
      </w:r>
      <w:r>
        <w:rPr>
          <w:rFonts w:hint="eastAsia" w:eastAsia="微软雅黑"/>
          <w:i/>
          <w:iCs/>
          <w:szCs w:val="20"/>
        </w:rPr>
        <w:t>b</w:t>
      </w:r>
      <w:r>
        <w:rPr>
          <w:rFonts w:hint="eastAsia" w:eastAsia="微软雅黑"/>
          <w:szCs w:val="20"/>
        </w:rPr>
        <w:t xml:space="preserve"> per carrier </w:t>
      </w:r>
      <w:r>
        <w:rPr>
          <w:rFonts w:hint="eastAsia" w:eastAsia="微软雅黑"/>
          <w:i/>
          <w:iCs/>
          <w:szCs w:val="20"/>
        </w:rPr>
        <w:t xml:space="preserve">f </w:t>
      </w:r>
      <w:r>
        <w:rPr>
          <w:rFonts w:hint="eastAsia" w:eastAsia="微软雅黑"/>
          <w:szCs w:val="20"/>
        </w:rPr>
        <w:t xml:space="preserve">per cell </w:t>
      </w:r>
      <w:r>
        <w:rPr>
          <w:rFonts w:hint="eastAsia" w:eastAsia="微软雅黑"/>
          <w:i/>
          <w:iCs/>
          <w:szCs w:val="20"/>
        </w:rPr>
        <w:t>c</w:t>
      </w:r>
      <w:r>
        <w:rPr>
          <w:rFonts w:hint="eastAsia" w:eastAsia="微软雅黑"/>
          <w:szCs w:val="20"/>
        </w:rPr>
        <w:t xml:space="preserve">. However, it is not clear for </w:t>
      </w:r>
      <w:r>
        <w:rPr>
          <w:rFonts w:eastAsia="微软雅黑"/>
          <w:szCs w:val="20"/>
        </w:rPr>
        <w:t xml:space="preserve">the </w:t>
      </w:r>
      <w:r>
        <w:rPr>
          <w:rFonts w:hint="eastAsia" w:eastAsia="微软雅黑"/>
          <w:szCs w:val="20"/>
        </w:rPr>
        <w:t>UE behavior on how to handle accumulated close</w:t>
      </w:r>
      <w:r>
        <w:rPr>
          <w:rFonts w:eastAsia="微软雅黑"/>
          <w:szCs w:val="20"/>
        </w:rPr>
        <w:t>d</w:t>
      </w:r>
      <w:r>
        <w:rPr>
          <w:rFonts w:hint="eastAsia" w:eastAsia="微软雅黑"/>
          <w:szCs w:val="20"/>
        </w:rPr>
        <w:t xml:space="preserve"> loop value in the new active BWP </w:t>
      </w:r>
      <w:r>
        <w:rPr>
          <w:rFonts w:eastAsia="微软雅黑"/>
          <w:szCs w:val="20"/>
        </w:rPr>
        <w:t xml:space="preserve">in the case of </w:t>
      </w:r>
      <w:r>
        <w:rPr>
          <w:rFonts w:hint="eastAsia" w:eastAsia="微软雅黑"/>
          <w:szCs w:val="20"/>
        </w:rPr>
        <w:t xml:space="preserve">BWP </w:t>
      </w:r>
      <w:r>
        <w:rPr>
          <w:rFonts w:eastAsia="微软雅黑"/>
          <w:szCs w:val="20"/>
        </w:rPr>
        <w:t>switching</w:t>
      </w:r>
      <w:r>
        <w:rPr>
          <w:rFonts w:hint="eastAsia" w:eastAsia="微软雅黑"/>
          <w:szCs w:val="20"/>
        </w:rPr>
        <w:t>.</w:t>
      </w:r>
    </w:p>
    <w:p>
      <w:pPr>
        <w:snapToGrid w:val="0"/>
        <w:spacing w:before="120" w:after="120" w:afterLines="50" w:line="288" w:lineRule="auto"/>
        <w:jc w:val="both"/>
        <w:rPr>
          <w:rFonts w:eastAsia="微软雅黑"/>
          <w:i/>
          <w:iCs/>
          <w:szCs w:val="20"/>
        </w:rPr>
      </w:pPr>
      <w:r>
        <w:rPr>
          <w:rFonts w:hint="eastAsia" w:eastAsia="微软雅黑"/>
          <w:b/>
          <w:bCs/>
          <w:i/>
          <w:iCs/>
          <w:szCs w:val="20"/>
        </w:rPr>
        <w:t>Observation</w:t>
      </w:r>
      <w:r>
        <w:rPr>
          <w:rFonts w:hint="eastAsia" w:eastAsia="微软雅黑"/>
          <w:i/>
          <w:iCs/>
          <w:szCs w:val="20"/>
        </w:rPr>
        <w:t xml:space="preserve">: </w:t>
      </w:r>
      <w:r>
        <w:rPr>
          <w:rFonts w:eastAsia="微软雅黑"/>
          <w:i/>
          <w:iCs/>
          <w:szCs w:val="20"/>
        </w:rPr>
        <w:t xml:space="preserve">From spec perspective, there is no clear </w:t>
      </w:r>
      <w:r>
        <w:rPr>
          <w:rFonts w:hint="eastAsia" w:eastAsia="微软雅黑"/>
          <w:i/>
          <w:iCs/>
          <w:szCs w:val="20"/>
        </w:rPr>
        <w:t>UE behavior on handl</w:t>
      </w:r>
      <w:r>
        <w:rPr>
          <w:rFonts w:eastAsia="微软雅黑"/>
          <w:i/>
          <w:iCs/>
          <w:szCs w:val="20"/>
        </w:rPr>
        <w:t>ing</w:t>
      </w:r>
      <w:r>
        <w:rPr>
          <w:rFonts w:hint="eastAsia" w:eastAsia="微软雅黑"/>
          <w:i/>
          <w:iCs/>
          <w:szCs w:val="20"/>
        </w:rPr>
        <w:t xml:space="preserve"> accumulated closed loop value</w:t>
      </w:r>
      <w:r>
        <w:rPr>
          <w:rFonts w:eastAsia="微软雅黑"/>
          <w:i/>
          <w:iCs/>
          <w:szCs w:val="20"/>
        </w:rPr>
        <w:t xml:space="preserve"> in the case of BWP switching</w:t>
      </w:r>
      <w:r>
        <w:rPr>
          <w:rFonts w:hint="eastAsia" w:eastAsia="微软雅黑"/>
          <w:i/>
          <w:iCs/>
          <w:szCs w:val="20"/>
        </w:rPr>
        <w:t>.</w:t>
      </w:r>
    </w:p>
    <w:p>
      <w:pPr>
        <w:snapToGrid w:val="0"/>
        <w:spacing w:before="120" w:after="120" w:afterLines="50" w:line="288" w:lineRule="auto"/>
        <w:jc w:val="both"/>
        <w:rPr>
          <w:rFonts w:eastAsia="微软雅黑"/>
          <w:szCs w:val="20"/>
        </w:rPr>
      </w:pPr>
      <w:r>
        <w:rPr>
          <w:rFonts w:eastAsia="微软雅黑"/>
          <w:szCs w:val="20"/>
        </w:rPr>
        <w:t xml:space="preserve">The interpretation on current spec is that closed loop(s) for UL power control are maintained per BWP. For example, as shown in figure 1, when a UE is indicated to switch active BWP from BWP #1 (old BWP) to BWP #2 (new BWP), all power control parameters for uplink transmission in BWP #2 should refer to those parameters configured and maintained in BWP #2 itself. However, the historically accumulated closed loop value(s) (i.e. </w:t>
      </w:r>
      <w:r>
        <w:t>power control adjustment state</w:t>
      </w:r>
      <w:r>
        <w:rPr>
          <w:rFonts w:hint="eastAsia"/>
        </w:rPr>
        <w:t>,</w:t>
      </w:r>
      <w:r>
        <w:t xml:space="preserve"> </w:t>
      </w:r>
      <w:r>
        <w:rPr>
          <w:rFonts w:hint="eastAsia"/>
        </w:rPr>
        <w:t xml:space="preserve">e.g. </w:t>
      </w:r>
      <w:r>
        <w:rPr>
          <w:position w:val="-12"/>
        </w:rPr>
        <w:drawing>
          <wp:inline distT="0" distB="0" distL="114300" distR="114300">
            <wp:extent cx="563245" cy="191135"/>
            <wp:effectExtent l="0" t="0" r="635" b="5715"/>
            <wp:docPr id="29"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04"/>
                    <pic:cNvPicPr>
                      <a:picLocks noChangeAspect="1"/>
                    </pic:cNvPicPr>
                  </pic:nvPicPr>
                  <pic:blipFill>
                    <a:blip r:embed="rId4"/>
                    <a:stretch>
                      <a:fillRect/>
                    </a:stretch>
                  </pic:blipFill>
                  <pic:spPr>
                    <a:xfrm>
                      <a:off x="0" y="0"/>
                      <a:ext cx="563245" cy="191135"/>
                    </a:xfrm>
                    <a:prstGeom prst="rect">
                      <a:avLst/>
                    </a:prstGeom>
                    <a:noFill/>
                    <a:ln>
                      <a:noFill/>
                    </a:ln>
                  </pic:spPr>
                </pic:pic>
              </a:graphicData>
            </a:graphic>
          </wp:inline>
        </w:drawing>
      </w:r>
      <w:r>
        <w:rPr>
          <w:rFonts w:eastAsia="微软雅黑"/>
          <w:szCs w:val="20"/>
        </w:rPr>
        <w:t xml:space="preserve"> for PUSCH) may not be proper for the latest UL transmission, since it can only reflect a channel condition possibly very long time ago, which may be quite different from that for the upcoming transmission. Therefore, applying this historical value may lead to severe transmit power discontinuity for the upcoming transmission in the new BWP compared with that for latest transmission in the old BWP. </w:t>
      </w:r>
    </w:p>
    <w:p>
      <w:r>
        <w:object>
          <v:shape id="_x0000_i1025" o:spt="75" type="#_x0000_t75" style="height:173.5pt;width:41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jc w:val="center"/>
        <w:rPr>
          <w:b/>
          <w:bCs/>
        </w:rPr>
      </w:pPr>
      <w:r>
        <w:rPr>
          <w:rFonts w:hint="eastAsia"/>
          <w:b/>
          <w:bCs/>
        </w:rPr>
        <w:t xml:space="preserve">Figure </w:t>
      </w:r>
      <w:r>
        <w:rPr>
          <w:b/>
          <w:bCs/>
        </w:rPr>
        <w:t xml:space="preserve">1 </w:t>
      </w:r>
      <w:r>
        <w:rPr>
          <w:bCs/>
        </w:rPr>
        <w:t>Closed loop power control procedure for BWP switching, supposing that closed loop(s) for UL power control are maintained per BWP</w:t>
      </w:r>
    </w:p>
    <w:p>
      <w:pPr>
        <w:snapToGrid w:val="0"/>
        <w:spacing w:before="120" w:after="120" w:afterLines="50" w:line="288" w:lineRule="auto"/>
        <w:jc w:val="both"/>
        <w:rPr>
          <w:rFonts w:eastAsia="微软雅黑"/>
          <w:szCs w:val="20"/>
        </w:rPr>
      </w:pPr>
      <w:r>
        <w:rPr>
          <w:rFonts w:hint="eastAsia" w:eastAsia="微软雅黑"/>
          <w:szCs w:val="20"/>
        </w:rPr>
        <w:t>To address the above issue, the following candidate schemes can be considered:</w:t>
      </w:r>
      <w:bookmarkStart w:id="0" w:name="_GoBack"/>
      <w:bookmarkEnd w:id="0"/>
    </w:p>
    <w:p>
      <w:pPr>
        <w:numPr>
          <w:ilvl w:val="0"/>
          <w:numId w:val="6"/>
        </w:numPr>
        <w:snapToGrid w:val="0"/>
        <w:spacing w:before="120" w:after="120" w:afterLines="50" w:line="288" w:lineRule="auto"/>
        <w:jc w:val="both"/>
        <w:rPr>
          <w:rFonts w:eastAsia="微软雅黑"/>
          <w:szCs w:val="20"/>
        </w:rPr>
      </w:pPr>
      <w:r>
        <w:rPr>
          <w:rFonts w:hint="eastAsia" w:eastAsia="微软雅黑"/>
          <w:szCs w:val="20"/>
        </w:rPr>
        <w:t xml:space="preserve">Scheme #1: When </w:t>
      </w:r>
      <w:r>
        <w:rPr>
          <w:rFonts w:eastAsia="微软雅黑"/>
          <w:szCs w:val="20"/>
        </w:rPr>
        <w:t>UE</w:t>
      </w:r>
      <w:r>
        <w:rPr>
          <w:rFonts w:hint="eastAsia" w:eastAsia="微软雅黑"/>
          <w:szCs w:val="20"/>
        </w:rPr>
        <w:t xml:space="preserve"> is switched </w:t>
      </w:r>
      <w:r>
        <w:rPr>
          <w:rFonts w:eastAsia="微软雅黑"/>
          <w:szCs w:val="20"/>
        </w:rPr>
        <w:t xml:space="preserve">to a new BWP </w:t>
      </w:r>
      <w:r>
        <w:rPr>
          <w:rFonts w:hint="eastAsia" w:eastAsia="微软雅黑"/>
          <w:szCs w:val="20"/>
        </w:rPr>
        <w:t xml:space="preserve">from an old BWP, a latest accumulated closed loop value from the old BWP </w:t>
      </w:r>
      <w:r>
        <w:rPr>
          <w:rFonts w:eastAsia="微软雅黑"/>
          <w:szCs w:val="20"/>
        </w:rPr>
        <w:t>is</w:t>
      </w:r>
      <w:r>
        <w:rPr>
          <w:rFonts w:hint="eastAsia" w:eastAsia="微软雅黑"/>
          <w:szCs w:val="20"/>
        </w:rPr>
        <w:t xml:space="preserve"> applied to determine an accumulated closed loop power control value for the new BWP.</w:t>
      </w:r>
    </w:p>
    <w:p>
      <w:pPr>
        <w:numPr>
          <w:ilvl w:val="0"/>
          <w:numId w:val="6"/>
        </w:numPr>
        <w:snapToGrid w:val="0"/>
        <w:spacing w:before="120" w:after="120" w:afterLines="50" w:line="288" w:lineRule="auto"/>
        <w:jc w:val="both"/>
        <w:rPr>
          <w:rFonts w:eastAsia="微软雅黑"/>
          <w:szCs w:val="20"/>
        </w:rPr>
      </w:pPr>
      <w:r>
        <w:rPr>
          <w:rFonts w:hint="eastAsia" w:eastAsia="微软雅黑"/>
          <w:szCs w:val="20"/>
        </w:rPr>
        <w:t xml:space="preserve">Scheme #2: When </w:t>
      </w:r>
      <w:r>
        <w:rPr>
          <w:rFonts w:eastAsia="微软雅黑"/>
          <w:szCs w:val="20"/>
        </w:rPr>
        <w:t>UE is switched to a new BWP</w:t>
      </w:r>
      <w:r>
        <w:rPr>
          <w:rFonts w:hint="eastAsia" w:eastAsia="微软雅黑"/>
          <w:szCs w:val="20"/>
        </w:rPr>
        <w:t xml:space="preserve"> from an old BWP, an accumulated closed loop value for the new BWP is initialized/reset to be 0. </w:t>
      </w:r>
    </w:p>
    <w:p>
      <w:pPr>
        <w:snapToGrid w:val="0"/>
        <w:spacing w:before="120" w:after="120" w:afterLines="50" w:line="288" w:lineRule="auto"/>
        <w:jc w:val="both"/>
        <w:rPr>
          <w:rFonts w:eastAsia="微软雅黑"/>
          <w:szCs w:val="20"/>
        </w:rPr>
      </w:pPr>
      <w:r>
        <w:rPr>
          <w:rFonts w:hint="eastAsia" w:eastAsia="微软雅黑"/>
          <w:szCs w:val="20"/>
        </w:rPr>
        <w:t>Both of schemes #1 and #2 can avoid using a</w:t>
      </w:r>
      <w:r>
        <w:rPr>
          <w:rFonts w:eastAsia="微软雅黑"/>
          <w:szCs w:val="20"/>
        </w:rPr>
        <w:t>n</w:t>
      </w:r>
      <w:r>
        <w:rPr>
          <w:rFonts w:hint="eastAsia" w:eastAsia="微软雅黑"/>
          <w:szCs w:val="20"/>
        </w:rPr>
        <w:t xml:space="preserve"> </w:t>
      </w:r>
      <w:r>
        <w:rPr>
          <w:rFonts w:eastAsia="微软雅黑"/>
          <w:szCs w:val="20"/>
        </w:rPr>
        <w:t>out-of-date</w:t>
      </w:r>
      <w:r>
        <w:rPr>
          <w:rFonts w:hint="eastAsia" w:eastAsia="微软雅黑"/>
          <w:szCs w:val="20"/>
        </w:rPr>
        <w:t xml:space="preserve"> historical accumulated closed loop value. Figure 2 and 3 illustrat</w:t>
      </w:r>
      <w:r>
        <w:rPr>
          <w:rFonts w:eastAsia="微软雅黑"/>
          <w:szCs w:val="20"/>
        </w:rPr>
        <w:t xml:space="preserve">e </w:t>
      </w:r>
      <w:r>
        <w:rPr>
          <w:rFonts w:hint="eastAsia" w:eastAsia="微软雅黑"/>
          <w:szCs w:val="20"/>
        </w:rPr>
        <w:t>scheme #1 and #2</w:t>
      </w:r>
      <w:r>
        <w:rPr>
          <w:rFonts w:eastAsia="微软雅黑"/>
          <w:szCs w:val="20"/>
        </w:rPr>
        <w:t>,</w:t>
      </w:r>
      <w:r>
        <w:rPr>
          <w:rFonts w:hint="eastAsia" w:eastAsia="微软雅黑"/>
          <w:szCs w:val="20"/>
        </w:rPr>
        <w:t xml:space="preserve"> respectively, where Sum(TPC</w:t>
      </w:r>
      <w:r>
        <w:rPr>
          <w:rFonts w:hint="eastAsia" w:eastAsia="微软雅黑"/>
          <w:szCs w:val="20"/>
          <w:vertAlign w:val="subscript"/>
        </w:rPr>
        <w:t>b=2</w:t>
      </w:r>
      <w:r>
        <w:rPr>
          <w:rFonts w:hint="eastAsia" w:eastAsia="微软雅黑"/>
          <w:szCs w:val="20"/>
        </w:rPr>
        <w:t xml:space="preserve">) refers to </w:t>
      </w:r>
      <w:r>
        <w:rPr>
          <w:position w:val="-24"/>
        </w:rPr>
        <w:drawing>
          <wp:inline distT="0" distB="0" distL="114300" distR="114300">
            <wp:extent cx="1095375" cy="351155"/>
            <wp:effectExtent l="0" t="0" r="0" b="14605"/>
            <wp:docPr id="32"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34"/>
                    <pic:cNvPicPr>
                      <a:picLocks noChangeAspect="1"/>
                    </pic:cNvPicPr>
                  </pic:nvPicPr>
                  <pic:blipFill>
                    <a:blip r:embed="rId7"/>
                    <a:stretch>
                      <a:fillRect/>
                    </a:stretch>
                  </pic:blipFill>
                  <pic:spPr>
                    <a:xfrm>
                      <a:off x="0" y="0"/>
                      <a:ext cx="1095375" cy="351155"/>
                    </a:xfrm>
                    <a:prstGeom prst="rect">
                      <a:avLst/>
                    </a:prstGeom>
                    <a:noFill/>
                    <a:ln>
                      <a:noFill/>
                    </a:ln>
                  </pic:spPr>
                </pic:pic>
              </a:graphicData>
            </a:graphic>
          </wp:inline>
        </w:drawing>
      </w:r>
      <w:r>
        <w:t xml:space="preserve"> </w:t>
      </w:r>
      <w:r>
        <w:rPr>
          <w:rFonts w:hint="eastAsia" w:eastAsia="微软雅黑"/>
          <w:szCs w:val="20"/>
        </w:rPr>
        <w:t xml:space="preserve">in the spec for BWP </w:t>
      </w:r>
      <w:r>
        <w:rPr>
          <w:rFonts w:hint="eastAsia" w:eastAsia="微软雅黑"/>
          <w:i/>
          <w:iCs/>
          <w:szCs w:val="20"/>
        </w:rPr>
        <w:t>#2</w:t>
      </w:r>
      <w:r>
        <w:rPr>
          <w:rFonts w:hint="eastAsia" w:eastAsia="微软雅黑"/>
          <w:szCs w:val="20"/>
        </w:rPr>
        <w:t xml:space="preserve">. </w:t>
      </w:r>
    </w:p>
    <w:p>
      <w:pPr>
        <w:pStyle w:val="101"/>
        <w:numPr>
          <w:ilvl w:val="0"/>
          <w:numId w:val="7"/>
        </w:numPr>
        <w:snapToGrid w:val="0"/>
        <w:spacing w:before="120" w:after="120" w:afterLines="50" w:line="288" w:lineRule="auto"/>
        <w:ind w:firstLineChars="0"/>
        <w:jc w:val="both"/>
        <w:rPr>
          <w:rFonts w:eastAsia="微软雅黑"/>
          <w:szCs w:val="20"/>
        </w:rPr>
      </w:pPr>
      <w:r>
        <w:rPr>
          <w:rFonts w:eastAsia="微软雅黑"/>
          <w:szCs w:val="20"/>
        </w:rPr>
        <w:t xml:space="preserve">Note that an accumulated closed loop value can be reset in response of receiving a re-configuration of power control parameter P0 or alpha. However, this is re-configured by RRC signaling which may cause a large delay, while considering that active BWP changing is dynamically indicated with a short latency. So it is better to specify UE action in response of receiving a DCI that indicates BWP switching. </w:t>
      </w:r>
    </w:p>
    <w:p>
      <w:pPr>
        <w:jc w:val="center"/>
      </w:pPr>
      <w:r>
        <w:object>
          <v:shape id="_x0000_i1026" o:spt="75" type="#_x0000_t75" style="height:197.65pt;width:41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pPr>
        <w:jc w:val="center"/>
      </w:pPr>
      <w:r>
        <w:rPr>
          <w:rFonts w:hint="eastAsia"/>
          <w:b/>
          <w:bCs/>
        </w:rPr>
        <w:t xml:space="preserve">Figure 2 </w:t>
      </w:r>
      <w:r>
        <w:rPr>
          <w:bCs/>
        </w:rPr>
        <w:t>Closed loop power control procedure for BWP switching with scheme #1</w:t>
      </w:r>
    </w:p>
    <w:p>
      <w:pPr>
        <w:jc w:val="center"/>
      </w:pPr>
      <w:r>
        <w:object>
          <v:shape id="_x0000_i1027" o:spt="75" type="#_x0000_t75" style="height:178.45pt;width:414.55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pPr>
        <w:jc w:val="center"/>
      </w:pPr>
      <w:r>
        <w:rPr>
          <w:rFonts w:hint="eastAsia"/>
          <w:b/>
          <w:bCs/>
        </w:rPr>
        <w:t xml:space="preserve">Figure 3 </w:t>
      </w:r>
      <w:r>
        <w:rPr>
          <w:bCs/>
        </w:rPr>
        <w:t>Closed loop power control procedure for BWP switching with scheme #2</w:t>
      </w:r>
    </w:p>
    <w:p>
      <w:pPr>
        <w:snapToGrid w:val="0"/>
        <w:spacing w:before="120" w:after="120" w:afterLines="50" w:line="288" w:lineRule="auto"/>
        <w:jc w:val="both"/>
        <w:rPr>
          <w:rFonts w:eastAsia="微软雅黑"/>
          <w:szCs w:val="20"/>
        </w:rPr>
      </w:pPr>
      <w:r>
        <w:rPr>
          <w:rFonts w:hint="eastAsia" w:eastAsia="微软雅黑"/>
          <w:szCs w:val="20"/>
        </w:rPr>
        <w:t xml:space="preserve">From the perspective of </w:t>
      </w:r>
      <w:r>
        <w:rPr>
          <w:rFonts w:eastAsia="微软雅黑"/>
          <w:szCs w:val="20"/>
        </w:rPr>
        <w:t>performance</w:t>
      </w:r>
      <w:r>
        <w:rPr>
          <w:rFonts w:hint="eastAsia" w:eastAsia="微软雅黑"/>
          <w:szCs w:val="20"/>
        </w:rPr>
        <w:t xml:space="preserve">, scheme #1 is better than scheme #2. Channel </w:t>
      </w:r>
      <w:r>
        <w:rPr>
          <w:rFonts w:eastAsia="微软雅黑"/>
          <w:szCs w:val="20"/>
        </w:rPr>
        <w:t>properties</w:t>
      </w:r>
      <w:r>
        <w:rPr>
          <w:rFonts w:hint="eastAsia" w:eastAsia="微软雅黑"/>
          <w:szCs w:val="20"/>
        </w:rPr>
        <w:t xml:space="preserve">, especially </w:t>
      </w:r>
      <w:r>
        <w:rPr>
          <w:rFonts w:eastAsia="微软雅黑"/>
          <w:szCs w:val="20"/>
        </w:rPr>
        <w:t xml:space="preserve">in terms of </w:t>
      </w:r>
      <w:r>
        <w:rPr>
          <w:rFonts w:hint="eastAsia" w:eastAsia="微软雅黑"/>
          <w:szCs w:val="20"/>
        </w:rPr>
        <w:t xml:space="preserve">large scale parameters, </w:t>
      </w:r>
      <w:r>
        <w:rPr>
          <w:rFonts w:eastAsia="微软雅黑"/>
          <w:szCs w:val="20"/>
        </w:rPr>
        <w:t>of</w:t>
      </w:r>
      <w:r>
        <w:rPr>
          <w:rFonts w:hint="eastAsia" w:eastAsia="微软雅黑"/>
          <w:szCs w:val="20"/>
        </w:rPr>
        <w:t xml:space="preserve"> old BWP and new BWP are most likely similar since they are within the</w:t>
      </w:r>
      <w:r>
        <w:rPr>
          <w:rFonts w:eastAsia="微软雅黑"/>
          <w:szCs w:val="20"/>
        </w:rPr>
        <w:t xml:space="preserve"> same</w:t>
      </w:r>
      <w:r>
        <w:rPr>
          <w:rFonts w:hint="eastAsia" w:eastAsia="微软雅黑"/>
          <w:szCs w:val="20"/>
        </w:rPr>
        <w:t xml:space="preserve"> carrier component. It is obvious that a latest accumulated closed loop value in old BWP can provide valuable information for closed power control </w:t>
      </w:r>
      <w:r>
        <w:rPr>
          <w:rFonts w:eastAsia="微软雅黑"/>
          <w:szCs w:val="20"/>
        </w:rPr>
        <w:t xml:space="preserve">procedure </w:t>
      </w:r>
      <w:r>
        <w:rPr>
          <w:rFonts w:hint="eastAsia" w:eastAsia="微软雅黑"/>
          <w:szCs w:val="20"/>
        </w:rPr>
        <w:t xml:space="preserve">in new BWP. </w:t>
      </w:r>
    </w:p>
    <w:p>
      <w:pPr>
        <w:snapToGrid w:val="0"/>
        <w:spacing w:before="120" w:after="120" w:afterLines="50" w:line="288" w:lineRule="auto"/>
        <w:jc w:val="both"/>
        <w:rPr>
          <w:rFonts w:eastAsia="微软雅黑"/>
          <w:szCs w:val="20"/>
        </w:rPr>
      </w:pPr>
      <w:r>
        <w:rPr>
          <w:rFonts w:hint="eastAsia" w:eastAsia="微软雅黑"/>
          <w:szCs w:val="20"/>
        </w:rPr>
        <w:t xml:space="preserve">With either scheme #1 or scheme #2, there are actually at most 2 closed loop power control loops at a time for active BWP in a CC. In order to reduce the spec </w:t>
      </w:r>
      <w:r>
        <w:rPr>
          <w:rFonts w:eastAsia="微软雅黑"/>
          <w:szCs w:val="20"/>
        </w:rPr>
        <w:t>modification</w:t>
      </w:r>
      <w:r>
        <w:rPr>
          <w:rFonts w:hint="eastAsia" w:eastAsia="微软雅黑"/>
          <w:szCs w:val="20"/>
        </w:rPr>
        <w:t xml:space="preserve">, the closed loop power control parameter is still configured and maintained per BWP as it is now. When BWP changes, the accumulated closed loop value for the new BWP should be reset or </w:t>
      </w:r>
      <w:r>
        <w:rPr>
          <w:rFonts w:eastAsia="微软雅黑"/>
          <w:szCs w:val="20"/>
        </w:rPr>
        <w:t>re-</w:t>
      </w:r>
      <w:r>
        <w:rPr>
          <w:rFonts w:hint="eastAsia" w:eastAsia="微软雅黑"/>
          <w:szCs w:val="20"/>
        </w:rPr>
        <w:t xml:space="preserve">determined according to the accumulated closed loop value from the old BWP. The value replacement or resetting only happens when BWP changes, </w:t>
      </w:r>
      <w:r>
        <w:rPr>
          <w:rFonts w:eastAsia="微软雅黑"/>
          <w:szCs w:val="20"/>
        </w:rPr>
        <w:t xml:space="preserve">and </w:t>
      </w:r>
      <w:r>
        <w:rPr>
          <w:rFonts w:hint="eastAsia" w:eastAsia="微软雅黑"/>
          <w:szCs w:val="20"/>
        </w:rPr>
        <w:t xml:space="preserve">then there is no need to maintain </w:t>
      </w:r>
      <w:r>
        <w:rPr>
          <w:rFonts w:eastAsia="微软雅黑"/>
          <w:szCs w:val="20"/>
        </w:rPr>
        <w:t xml:space="preserve">historically </w:t>
      </w:r>
      <w:r>
        <w:rPr>
          <w:rFonts w:hint="eastAsia" w:eastAsia="微软雅黑"/>
          <w:szCs w:val="20"/>
        </w:rPr>
        <w:t xml:space="preserve">accumulated closed loop value for any inactive BWP. </w:t>
      </w:r>
    </w:p>
    <w:p>
      <w:pPr>
        <w:snapToGrid w:val="0"/>
        <w:spacing w:before="120" w:after="120" w:afterLines="50" w:line="288" w:lineRule="auto"/>
        <w:jc w:val="both"/>
        <w:rPr>
          <w:rFonts w:eastAsia="微软雅黑"/>
          <w:i/>
          <w:iCs/>
          <w:szCs w:val="20"/>
        </w:rPr>
      </w:pPr>
      <w:r>
        <w:rPr>
          <w:rFonts w:hint="eastAsia"/>
          <w:b/>
          <w:bCs/>
          <w:i/>
          <w:iCs/>
        </w:rPr>
        <w:t xml:space="preserve">Proposal: </w:t>
      </w:r>
      <w:r>
        <w:rPr>
          <w:rFonts w:hint="eastAsia" w:eastAsia="微软雅黑"/>
          <w:i/>
          <w:iCs/>
          <w:szCs w:val="20"/>
        </w:rPr>
        <w:t xml:space="preserve">When a new BWP is switched from an old BWP, a latest accumulated closed loop value from the old BWP is applied </w:t>
      </w:r>
      <w:r>
        <w:rPr>
          <w:rFonts w:eastAsia="微软雅黑"/>
          <w:i/>
          <w:iCs/>
          <w:szCs w:val="20"/>
        </w:rPr>
        <w:t>for</w:t>
      </w:r>
      <w:r>
        <w:rPr>
          <w:rFonts w:hint="eastAsia" w:eastAsia="微软雅黑"/>
          <w:i/>
          <w:iCs/>
          <w:szCs w:val="20"/>
        </w:rPr>
        <w:t xml:space="preserve"> determin</w:t>
      </w:r>
      <w:r>
        <w:rPr>
          <w:rFonts w:eastAsia="微软雅黑"/>
          <w:i/>
          <w:iCs/>
          <w:szCs w:val="20"/>
        </w:rPr>
        <w:t>ing</w:t>
      </w:r>
      <w:r>
        <w:rPr>
          <w:rFonts w:hint="eastAsia" w:eastAsia="微软雅黑"/>
          <w:i/>
          <w:iCs/>
          <w:szCs w:val="20"/>
        </w:rPr>
        <w:t xml:space="preserve"> an accumulated closed loop value for </w:t>
      </w:r>
      <w:r>
        <w:rPr>
          <w:rFonts w:eastAsia="微软雅黑"/>
          <w:i/>
          <w:iCs/>
          <w:szCs w:val="20"/>
        </w:rPr>
        <w:t xml:space="preserve">the </w:t>
      </w:r>
      <w:r>
        <w:rPr>
          <w:rFonts w:hint="eastAsia" w:eastAsia="微软雅黑"/>
          <w:i/>
          <w:iCs/>
          <w:szCs w:val="20"/>
        </w:rPr>
        <w:t>new BWP</w:t>
      </w:r>
      <w:r>
        <w:rPr>
          <w:rFonts w:eastAsia="微软雅黑"/>
          <w:i/>
          <w:iCs/>
          <w:szCs w:val="20"/>
        </w:rPr>
        <w:t>.</w:t>
      </w:r>
    </w:p>
    <w:p>
      <w:pPr>
        <w:pStyle w:val="101"/>
        <w:numPr>
          <w:ilvl w:val="0"/>
          <w:numId w:val="7"/>
        </w:numPr>
        <w:snapToGrid w:val="0"/>
        <w:spacing w:before="120" w:after="120" w:afterLines="50" w:line="288" w:lineRule="auto"/>
        <w:ind w:firstLineChars="0"/>
        <w:jc w:val="both"/>
        <w:rPr>
          <w:b/>
          <w:bCs/>
          <w:i/>
          <w:iCs/>
        </w:rPr>
      </w:pPr>
      <w:r>
        <w:rPr>
          <w:rFonts w:eastAsia="微软雅黑"/>
          <w:i/>
          <w:iCs/>
          <w:szCs w:val="20"/>
        </w:rPr>
        <w:t xml:space="preserve"> For first transmission i in the new BWP,</w:t>
      </w:r>
      <w:r>
        <w:rPr>
          <w:i/>
          <w:position w:val="-14"/>
        </w:rPr>
        <w:object>
          <v:shape id="_x0000_i1028" o:spt="75" type="#_x0000_t75" style="height:17pt;width:166.8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rFonts w:eastAsia="微软雅黑"/>
          <w:i/>
          <w:iCs/>
          <w:szCs w:val="20"/>
        </w:rPr>
        <w:t>, where b</w:t>
      </w:r>
      <w:r>
        <w:rPr>
          <w:rFonts w:eastAsia="微软雅黑"/>
          <w:i/>
          <w:iCs/>
          <w:szCs w:val="20"/>
          <w:vertAlign w:val="subscript"/>
        </w:rPr>
        <w:t>1</w:t>
      </w:r>
      <w:r>
        <w:rPr>
          <w:rFonts w:eastAsia="微软雅黑"/>
          <w:i/>
          <w:iCs/>
          <w:szCs w:val="20"/>
        </w:rPr>
        <w:t xml:space="preserve"> and b</w:t>
      </w:r>
      <w:r>
        <w:rPr>
          <w:rFonts w:eastAsia="微软雅黑"/>
          <w:i/>
          <w:iCs/>
          <w:szCs w:val="20"/>
          <w:vertAlign w:val="subscript"/>
        </w:rPr>
        <w:t>2</w:t>
      </w:r>
      <w:r>
        <w:rPr>
          <w:rFonts w:eastAsia="微软雅黑"/>
          <w:i/>
          <w:iCs/>
          <w:szCs w:val="20"/>
        </w:rPr>
        <w:t xml:space="preserve"> denote old BWP and new BWP, respectively, and </w:t>
      </w:r>
      <w:r>
        <w:rPr>
          <w:i/>
          <w:position w:val="-6"/>
        </w:rPr>
        <w:object>
          <v:shape id="_x0000_i1029" o:spt="75" type="#_x0000_t75" style="height:12.95pt;width:12.05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r>
        <w:rPr>
          <w:i/>
        </w:rPr>
        <w:t>denotes the latest transmission occasion in the old BWP</w:t>
      </w:r>
      <w:r>
        <w:rPr>
          <w:rFonts w:hint="eastAsia" w:eastAsia="微软雅黑"/>
          <w:i/>
          <w:iCs/>
          <w:szCs w:val="20"/>
        </w:rPr>
        <w:t>.</w:t>
      </w:r>
    </w:p>
    <w:p>
      <w:pPr>
        <w:keepNext/>
        <w:widowControl w:val="0"/>
        <w:numPr>
          <w:ilvl w:val="0"/>
          <w:numId w:val="5"/>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Conclusion</w:t>
      </w:r>
    </w:p>
    <w:p>
      <w:pPr>
        <w:snapToGrid w:val="0"/>
        <w:spacing w:before="120" w:after="120" w:afterLines="50" w:line="288" w:lineRule="auto"/>
        <w:jc w:val="both"/>
        <w:rPr>
          <w:rFonts w:eastAsia="微软雅黑"/>
          <w:szCs w:val="20"/>
        </w:rPr>
      </w:pPr>
      <w:r>
        <w:rPr>
          <w:rFonts w:hint="eastAsia" w:eastAsia="微软雅黑"/>
          <w:szCs w:val="20"/>
        </w:rPr>
        <w:t>I</w:t>
      </w:r>
      <w:r>
        <w:rPr>
          <w:rFonts w:eastAsia="微软雅黑"/>
          <w:szCs w:val="20"/>
        </w:rPr>
        <w:t xml:space="preserve">n this contribution, </w:t>
      </w:r>
      <w:r>
        <w:rPr>
          <w:rFonts w:hint="eastAsia" w:eastAsia="微软雅黑"/>
          <w:szCs w:val="20"/>
        </w:rPr>
        <w:t>we discuss issues about accumulated closed loop power control for uplink transmission, in the case of BWP switching and provide candidate solutions. Observation and proposal are listed as follows. Corresponding text change for the preferred solution, i.e. scheme #1, can be found in a companion CR document [2].</w:t>
      </w:r>
    </w:p>
    <w:p>
      <w:pPr>
        <w:snapToGrid w:val="0"/>
        <w:spacing w:before="120" w:after="120" w:afterLines="50" w:line="288" w:lineRule="auto"/>
        <w:jc w:val="both"/>
        <w:rPr>
          <w:rFonts w:eastAsia="微软雅黑"/>
          <w:i/>
          <w:iCs/>
          <w:szCs w:val="20"/>
        </w:rPr>
      </w:pPr>
      <w:r>
        <w:rPr>
          <w:rFonts w:hint="eastAsia" w:eastAsia="微软雅黑"/>
          <w:b/>
          <w:bCs/>
          <w:i/>
          <w:iCs/>
          <w:szCs w:val="20"/>
        </w:rPr>
        <w:t>Observation</w:t>
      </w:r>
      <w:r>
        <w:rPr>
          <w:rFonts w:hint="eastAsia" w:eastAsia="微软雅黑"/>
          <w:i/>
          <w:iCs/>
          <w:szCs w:val="20"/>
        </w:rPr>
        <w:t xml:space="preserve">: </w:t>
      </w:r>
      <w:r>
        <w:rPr>
          <w:rFonts w:eastAsia="微软雅黑"/>
          <w:i/>
          <w:iCs/>
          <w:szCs w:val="20"/>
        </w:rPr>
        <w:t xml:space="preserve">From spec perspective, there is no clear </w:t>
      </w:r>
      <w:r>
        <w:rPr>
          <w:rFonts w:hint="eastAsia" w:eastAsia="微软雅黑"/>
          <w:i/>
          <w:iCs/>
          <w:szCs w:val="20"/>
        </w:rPr>
        <w:t>UE behavior on handl</w:t>
      </w:r>
      <w:r>
        <w:rPr>
          <w:rFonts w:eastAsia="微软雅黑"/>
          <w:i/>
          <w:iCs/>
          <w:szCs w:val="20"/>
        </w:rPr>
        <w:t>ing</w:t>
      </w:r>
      <w:r>
        <w:rPr>
          <w:rFonts w:hint="eastAsia" w:eastAsia="微软雅黑"/>
          <w:i/>
          <w:iCs/>
          <w:szCs w:val="20"/>
        </w:rPr>
        <w:t xml:space="preserve"> accumulated closed loop value</w:t>
      </w:r>
      <w:r>
        <w:rPr>
          <w:rFonts w:eastAsia="微软雅黑"/>
          <w:i/>
          <w:iCs/>
          <w:szCs w:val="20"/>
        </w:rPr>
        <w:t xml:space="preserve"> in the case of BWP switching</w:t>
      </w:r>
      <w:r>
        <w:rPr>
          <w:rFonts w:hint="eastAsia" w:eastAsia="微软雅黑"/>
          <w:i/>
          <w:iCs/>
          <w:szCs w:val="20"/>
        </w:rPr>
        <w:t>.</w:t>
      </w:r>
    </w:p>
    <w:p>
      <w:pPr>
        <w:snapToGrid w:val="0"/>
        <w:spacing w:before="120" w:after="120" w:afterLines="50" w:line="288" w:lineRule="auto"/>
        <w:jc w:val="both"/>
        <w:rPr>
          <w:rFonts w:eastAsia="微软雅黑"/>
          <w:i/>
          <w:iCs/>
          <w:szCs w:val="20"/>
        </w:rPr>
      </w:pPr>
      <w:r>
        <w:rPr>
          <w:rFonts w:hint="eastAsia"/>
          <w:b/>
          <w:bCs/>
          <w:i/>
          <w:iCs/>
        </w:rPr>
        <w:t xml:space="preserve">Proposal: </w:t>
      </w:r>
      <w:r>
        <w:rPr>
          <w:rFonts w:hint="eastAsia" w:eastAsia="微软雅黑"/>
          <w:i/>
          <w:iCs/>
          <w:szCs w:val="20"/>
        </w:rPr>
        <w:t xml:space="preserve">When a new BWP is switched from an old BWP, a latest accumulated closed loop value from the old BWP is applied </w:t>
      </w:r>
      <w:r>
        <w:rPr>
          <w:rFonts w:eastAsia="微软雅黑"/>
          <w:i/>
          <w:iCs/>
          <w:szCs w:val="20"/>
        </w:rPr>
        <w:t>for</w:t>
      </w:r>
      <w:r>
        <w:rPr>
          <w:rFonts w:hint="eastAsia" w:eastAsia="微软雅黑"/>
          <w:i/>
          <w:iCs/>
          <w:szCs w:val="20"/>
        </w:rPr>
        <w:t xml:space="preserve"> determin</w:t>
      </w:r>
      <w:r>
        <w:rPr>
          <w:rFonts w:eastAsia="微软雅黑"/>
          <w:i/>
          <w:iCs/>
          <w:szCs w:val="20"/>
        </w:rPr>
        <w:t>ing</w:t>
      </w:r>
      <w:r>
        <w:rPr>
          <w:rFonts w:hint="eastAsia" w:eastAsia="微软雅黑"/>
          <w:i/>
          <w:iCs/>
          <w:szCs w:val="20"/>
        </w:rPr>
        <w:t xml:space="preserve"> an accumulated closed loop value for </w:t>
      </w:r>
      <w:r>
        <w:rPr>
          <w:rFonts w:eastAsia="微软雅黑"/>
          <w:i/>
          <w:iCs/>
          <w:szCs w:val="20"/>
        </w:rPr>
        <w:t xml:space="preserve">the </w:t>
      </w:r>
      <w:r>
        <w:rPr>
          <w:rFonts w:hint="eastAsia" w:eastAsia="微软雅黑"/>
          <w:i/>
          <w:iCs/>
          <w:szCs w:val="20"/>
        </w:rPr>
        <w:t>new BWP</w:t>
      </w:r>
      <w:r>
        <w:rPr>
          <w:rFonts w:eastAsia="微软雅黑"/>
          <w:i/>
          <w:iCs/>
          <w:szCs w:val="20"/>
        </w:rPr>
        <w:t>.</w:t>
      </w:r>
    </w:p>
    <w:p>
      <w:pPr>
        <w:pStyle w:val="101"/>
        <w:numPr>
          <w:ilvl w:val="0"/>
          <w:numId w:val="7"/>
        </w:numPr>
        <w:snapToGrid w:val="0"/>
        <w:spacing w:before="120" w:after="120" w:afterLines="50" w:line="288" w:lineRule="auto"/>
        <w:ind w:firstLineChars="0"/>
        <w:jc w:val="both"/>
        <w:rPr>
          <w:b/>
          <w:bCs/>
          <w:i/>
          <w:iCs/>
        </w:rPr>
      </w:pPr>
      <w:r>
        <w:rPr>
          <w:rFonts w:eastAsia="微软雅黑"/>
          <w:i/>
          <w:iCs/>
          <w:szCs w:val="20"/>
        </w:rPr>
        <w:t xml:space="preserve"> For first transmission i in the new BWP,</w:t>
      </w:r>
      <w:r>
        <w:rPr>
          <w:i/>
          <w:position w:val="-14"/>
        </w:rPr>
        <w:object>
          <v:shape id="_x0000_i1030" o:spt="75" type="#_x0000_t75" style="height:17pt;width:166.8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6">
            <o:LockedField>false</o:LockedField>
          </o:OLEObject>
        </w:object>
      </w:r>
      <w:r>
        <w:rPr>
          <w:rFonts w:eastAsia="微软雅黑"/>
          <w:i/>
          <w:iCs/>
          <w:szCs w:val="20"/>
        </w:rPr>
        <w:t>, where b</w:t>
      </w:r>
      <w:r>
        <w:rPr>
          <w:rFonts w:eastAsia="微软雅黑"/>
          <w:i/>
          <w:iCs/>
          <w:szCs w:val="20"/>
          <w:vertAlign w:val="subscript"/>
        </w:rPr>
        <w:t>1</w:t>
      </w:r>
      <w:r>
        <w:rPr>
          <w:rFonts w:eastAsia="微软雅黑"/>
          <w:i/>
          <w:iCs/>
          <w:szCs w:val="20"/>
        </w:rPr>
        <w:t xml:space="preserve"> and b</w:t>
      </w:r>
      <w:r>
        <w:rPr>
          <w:rFonts w:eastAsia="微软雅黑"/>
          <w:i/>
          <w:iCs/>
          <w:szCs w:val="20"/>
          <w:vertAlign w:val="subscript"/>
        </w:rPr>
        <w:t>2</w:t>
      </w:r>
      <w:r>
        <w:rPr>
          <w:rFonts w:eastAsia="微软雅黑"/>
          <w:i/>
          <w:iCs/>
          <w:szCs w:val="20"/>
        </w:rPr>
        <w:t xml:space="preserve"> denote old BWP and new BWP, respectively, and </w:t>
      </w:r>
      <w:r>
        <w:rPr>
          <w:i/>
          <w:position w:val="-6"/>
        </w:rPr>
        <w:object>
          <v:shape id="_x0000_i1031" o:spt="75" type="#_x0000_t75" style="height:12.95pt;width:12.05pt;" o:ole="t" filled="f" o:preferrelative="t" stroked="f" coordsize="21600,21600">
            <v:path/>
            <v:fill on="f" focussize="0,0"/>
            <v:stroke on="f" joinstyle="miter"/>
            <v:imagedata r:id="rId15" o:title=""/>
            <o:lock v:ext="edit" aspectratio="t"/>
            <w10:wrap type="none"/>
            <w10:anchorlock/>
          </v:shape>
          <o:OLEObject Type="Embed" ProgID="Equation.3" ShapeID="_x0000_i1031" DrawAspect="Content" ObjectID="_1468075731" r:id="rId17">
            <o:LockedField>false</o:LockedField>
          </o:OLEObject>
        </w:object>
      </w:r>
      <w:r>
        <w:rPr>
          <w:i/>
        </w:rPr>
        <w:t>denotes the latest transmission occasion in the old BWP</w:t>
      </w:r>
      <w:r>
        <w:rPr>
          <w:rFonts w:hint="eastAsia" w:eastAsia="微软雅黑"/>
          <w:i/>
          <w:iCs/>
          <w:szCs w:val="20"/>
        </w:rPr>
        <w:t>.</w:t>
      </w:r>
    </w:p>
    <w:p>
      <w:pPr>
        <w:keepNext/>
        <w:widowControl w:val="0"/>
        <w:numPr>
          <w:ilvl w:val="0"/>
          <w:numId w:val="5"/>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References</w:t>
      </w:r>
    </w:p>
    <w:p>
      <w:pPr>
        <w:pStyle w:val="75"/>
        <w:numPr>
          <w:ilvl w:val="0"/>
          <w:numId w:val="8"/>
        </w:numPr>
        <w:snapToGrid w:val="0"/>
        <w:spacing w:line="360" w:lineRule="auto"/>
        <w:rPr>
          <w:sz w:val="20"/>
          <w:szCs w:val="20"/>
        </w:rPr>
      </w:pPr>
      <w:r>
        <w:rPr>
          <w:rFonts w:hint="eastAsia"/>
          <w:sz w:val="20"/>
          <w:szCs w:val="20"/>
        </w:rPr>
        <w:t>3GPP TS 38.213-fe0</w:t>
      </w:r>
      <w:r>
        <w:rPr>
          <w:sz w:val="20"/>
          <w:szCs w:val="20"/>
        </w:rPr>
        <w:t>,</w:t>
      </w:r>
      <w:r>
        <w:rPr>
          <w:rFonts w:hint="eastAsia"/>
          <w:sz w:val="20"/>
          <w:szCs w:val="20"/>
        </w:rPr>
        <w:t xml:space="preserve"> NR </w:t>
      </w:r>
      <w:r>
        <w:rPr>
          <w:sz w:val="20"/>
          <w:szCs w:val="20"/>
        </w:rPr>
        <w:t>Physical layer procedures for control</w:t>
      </w:r>
    </w:p>
    <w:p>
      <w:pPr>
        <w:pStyle w:val="75"/>
        <w:numPr>
          <w:ilvl w:val="0"/>
          <w:numId w:val="8"/>
        </w:numPr>
        <w:snapToGrid w:val="0"/>
        <w:spacing w:line="360" w:lineRule="auto"/>
        <w:rPr>
          <w:sz w:val="20"/>
          <w:szCs w:val="20"/>
        </w:rPr>
      </w:pPr>
      <w:r>
        <w:rPr>
          <w:rFonts w:hint="eastAsia"/>
          <w:sz w:val="20"/>
          <w:szCs w:val="20"/>
        </w:rPr>
        <w:t>R1-2106537</w:t>
      </w:r>
      <w:r>
        <w:rPr>
          <w:sz w:val="20"/>
          <w:szCs w:val="20"/>
        </w:rPr>
        <w:t>,</w:t>
      </w:r>
      <w:r>
        <w:rPr>
          <w:rFonts w:hint="eastAsia"/>
          <w:sz w:val="20"/>
          <w:szCs w:val="20"/>
        </w:rPr>
        <w:t xml:space="preserve"> Draft CR on accumulated closed loop power control for BWP switching</w:t>
      </w:r>
    </w:p>
    <w:p>
      <w:pPr>
        <w:snapToGrid w:val="0"/>
        <w:spacing w:before="120" w:after="120" w:afterLines="50" w:line="240" w:lineRule="auto"/>
        <w:jc w:val="both"/>
        <w:rPr>
          <w:rFonts w:eastAsia="微软雅黑"/>
          <w:szCs w:val="20"/>
          <w:lang w:val="en-GB"/>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88E81F5A"/>
    <w:multiLevelType w:val="multilevel"/>
    <w:tmpl w:val="88E81F5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ED074753"/>
    <w:multiLevelType w:val="singleLevel"/>
    <w:tmpl w:val="ED074753"/>
    <w:lvl w:ilvl="0" w:tentative="0">
      <w:start w:val="1"/>
      <w:numFmt w:val="decimal"/>
      <w:suff w:val="space"/>
      <w:lvlText w:val="[%1]"/>
      <w:lvlJc w:val="left"/>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60D3FFB"/>
    <w:multiLevelType w:val="multilevel"/>
    <w:tmpl w:val="060D3FFB"/>
    <w:lvl w:ilvl="0" w:tentative="0">
      <w:start w:val="1"/>
      <w:numFmt w:val="bullet"/>
      <w:pStyle w:val="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6">
    <w:nsid w:val="3231310B"/>
    <w:multiLevelType w:val="multilevel"/>
    <w:tmpl w:val="3231310B"/>
    <w:lvl w:ilvl="0" w:tentative="0">
      <w:start w:val="1"/>
      <w:numFmt w:val="bullet"/>
      <w:lvlText w:val="-"/>
      <w:lvlJc w:val="left"/>
      <w:pPr>
        <w:ind w:left="720" w:hanging="360"/>
      </w:pPr>
      <w:rPr>
        <w:rFonts w:hint="default" w:ascii="Times New Roman" w:hAnsi="Times New Roman" w:eastAsia="微软雅黑"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7"/>
  </w:num>
  <w:num w:numId="4">
    <w:abstractNumId w:val="4"/>
  </w:num>
  <w:num w:numId="5">
    <w:abstractNumId w:val="5"/>
  </w:num>
  <w:num w:numId="6">
    <w:abstractNumId w:val="1"/>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527"/>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9D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F4D"/>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3B5E"/>
    <w:rsid w:val="00074888"/>
    <w:rsid w:val="00074A32"/>
    <w:rsid w:val="00074B8B"/>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902F8"/>
    <w:rsid w:val="000903CA"/>
    <w:rsid w:val="00090B8B"/>
    <w:rsid w:val="00090C79"/>
    <w:rsid w:val="00090D90"/>
    <w:rsid w:val="00090E09"/>
    <w:rsid w:val="0009101D"/>
    <w:rsid w:val="00091853"/>
    <w:rsid w:val="00091ABB"/>
    <w:rsid w:val="000920BD"/>
    <w:rsid w:val="000929EA"/>
    <w:rsid w:val="00092A5C"/>
    <w:rsid w:val="00092B46"/>
    <w:rsid w:val="00092C57"/>
    <w:rsid w:val="00092CCA"/>
    <w:rsid w:val="00093082"/>
    <w:rsid w:val="0009334E"/>
    <w:rsid w:val="000934B3"/>
    <w:rsid w:val="0009487E"/>
    <w:rsid w:val="00094955"/>
    <w:rsid w:val="0009551E"/>
    <w:rsid w:val="000955A4"/>
    <w:rsid w:val="00095A6A"/>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50E"/>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4D"/>
    <w:rsid w:val="000A62EA"/>
    <w:rsid w:val="000A6303"/>
    <w:rsid w:val="000A654E"/>
    <w:rsid w:val="000A777F"/>
    <w:rsid w:val="000B00E0"/>
    <w:rsid w:val="000B0383"/>
    <w:rsid w:val="000B0395"/>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463D"/>
    <w:rsid w:val="000D4C91"/>
    <w:rsid w:val="000D4ECB"/>
    <w:rsid w:val="000D58E6"/>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7C1"/>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278"/>
    <w:rsid w:val="00101AFD"/>
    <w:rsid w:val="00101B58"/>
    <w:rsid w:val="00101C8E"/>
    <w:rsid w:val="00101D5C"/>
    <w:rsid w:val="00102192"/>
    <w:rsid w:val="0010229B"/>
    <w:rsid w:val="00102337"/>
    <w:rsid w:val="00102718"/>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904"/>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52C"/>
    <w:rsid w:val="00130E18"/>
    <w:rsid w:val="001315A9"/>
    <w:rsid w:val="00131A50"/>
    <w:rsid w:val="001321B3"/>
    <w:rsid w:val="00132346"/>
    <w:rsid w:val="00132581"/>
    <w:rsid w:val="00132895"/>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3B3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22BF"/>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DCB"/>
    <w:rsid w:val="00175F47"/>
    <w:rsid w:val="0017626A"/>
    <w:rsid w:val="00176BE2"/>
    <w:rsid w:val="00176D05"/>
    <w:rsid w:val="00177475"/>
    <w:rsid w:val="0017785F"/>
    <w:rsid w:val="001801D5"/>
    <w:rsid w:val="0018071A"/>
    <w:rsid w:val="00180C8E"/>
    <w:rsid w:val="001813B0"/>
    <w:rsid w:val="00181632"/>
    <w:rsid w:val="00181961"/>
    <w:rsid w:val="00182172"/>
    <w:rsid w:val="001829F9"/>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CD9"/>
    <w:rsid w:val="001C4EA1"/>
    <w:rsid w:val="001C4F13"/>
    <w:rsid w:val="001C4F71"/>
    <w:rsid w:val="001C5483"/>
    <w:rsid w:val="001C5739"/>
    <w:rsid w:val="001C5E55"/>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FDE"/>
    <w:rsid w:val="001D71E9"/>
    <w:rsid w:val="001D747E"/>
    <w:rsid w:val="001D74CF"/>
    <w:rsid w:val="001D7B87"/>
    <w:rsid w:val="001D7BF0"/>
    <w:rsid w:val="001E072A"/>
    <w:rsid w:val="001E0A83"/>
    <w:rsid w:val="001E0EAE"/>
    <w:rsid w:val="001E147D"/>
    <w:rsid w:val="001E16D4"/>
    <w:rsid w:val="001E1705"/>
    <w:rsid w:val="001E1760"/>
    <w:rsid w:val="001E1A77"/>
    <w:rsid w:val="001E2890"/>
    <w:rsid w:val="001E2A05"/>
    <w:rsid w:val="001E2B19"/>
    <w:rsid w:val="001E2C50"/>
    <w:rsid w:val="001E308B"/>
    <w:rsid w:val="001E327B"/>
    <w:rsid w:val="001E35C2"/>
    <w:rsid w:val="001E38F2"/>
    <w:rsid w:val="001E3D04"/>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37906"/>
    <w:rsid w:val="00240AEF"/>
    <w:rsid w:val="00240B53"/>
    <w:rsid w:val="00240C3D"/>
    <w:rsid w:val="00240EA6"/>
    <w:rsid w:val="002414DB"/>
    <w:rsid w:val="00241BBD"/>
    <w:rsid w:val="00241E46"/>
    <w:rsid w:val="00242322"/>
    <w:rsid w:val="002424E5"/>
    <w:rsid w:val="0024289A"/>
    <w:rsid w:val="002429EF"/>
    <w:rsid w:val="00242A00"/>
    <w:rsid w:val="00242EBC"/>
    <w:rsid w:val="002439C6"/>
    <w:rsid w:val="00243C86"/>
    <w:rsid w:val="00244303"/>
    <w:rsid w:val="002444AE"/>
    <w:rsid w:val="00244B6B"/>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EF7"/>
    <w:rsid w:val="00257F6E"/>
    <w:rsid w:val="00260094"/>
    <w:rsid w:val="00260F57"/>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801D5"/>
    <w:rsid w:val="0028042C"/>
    <w:rsid w:val="00280476"/>
    <w:rsid w:val="00280B7E"/>
    <w:rsid w:val="002811F3"/>
    <w:rsid w:val="00281283"/>
    <w:rsid w:val="00281355"/>
    <w:rsid w:val="00281756"/>
    <w:rsid w:val="002828EF"/>
    <w:rsid w:val="00282999"/>
    <w:rsid w:val="002829E5"/>
    <w:rsid w:val="00282A7C"/>
    <w:rsid w:val="00282AF5"/>
    <w:rsid w:val="0028387F"/>
    <w:rsid w:val="002845C3"/>
    <w:rsid w:val="00284A55"/>
    <w:rsid w:val="00284B9F"/>
    <w:rsid w:val="00284C5C"/>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5F9B"/>
    <w:rsid w:val="002A6473"/>
    <w:rsid w:val="002A669A"/>
    <w:rsid w:val="002A66EA"/>
    <w:rsid w:val="002A6AA5"/>
    <w:rsid w:val="002A6CC1"/>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AB0"/>
    <w:rsid w:val="002B7BA9"/>
    <w:rsid w:val="002B7C26"/>
    <w:rsid w:val="002B7D0C"/>
    <w:rsid w:val="002C07CA"/>
    <w:rsid w:val="002C0887"/>
    <w:rsid w:val="002C0941"/>
    <w:rsid w:val="002C0962"/>
    <w:rsid w:val="002C0990"/>
    <w:rsid w:val="002C102E"/>
    <w:rsid w:val="002C10ED"/>
    <w:rsid w:val="002C1138"/>
    <w:rsid w:val="002C1311"/>
    <w:rsid w:val="002C15B4"/>
    <w:rsid w:val="002C1C6B"/>
    <w:rsid w:val="002C1E7D"/>
    <w:rsid w:val="002C2041"/>
    <w:rsid w:val="002C2349"/>
    <w:rsid w:val="002C2382"/>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81B"/>
    <w:rsid w:val="00301959"/>
    <w:rsid w:val="003019E1"/>
    <w:rsid w:val="00301A6A"/>
    <w:rsid w:val="00301D6D"/>
    <w:rsid w:val="00301EEF"/>
    <w:rsid w:val="00302366"/>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694D"/>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08"/>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156"/>
    <w:rsid w:val="00375349"/>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626"/>
    <w:rsid w:val="0039269B"/>
    <w:rsid w:val="003926CF"/>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2543"/>
    <w:rsid w:val="003A2841"/>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2A"/>
    <w:rsid w:val="003D6AE5"/>
    <w:rsid w:val="003D746D"/>
    <w:rsid w:val="003D7491"/>
    <w:rsid w:val="003D79F1"/>
    <w:rsid w:val="003D7A58"/>
    <w:rsid w:val="003D7EB6"/>
    <w:rsid w:val="003E0AD8"/>
    <w:rsid w:val="003E0ADC"/>
    <w:rsid w:val="003E0E85"/>
    <w:rsid w:val="003E0E8E"/>
    <w:rsid w:val="003E1211"/>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139"/>
    <w:rsid w:val="0042159A"/>
    <w:rsid w:val="00421D06"/>
    <w:rsid w:val="00422685"/>
    <w:rsid w:val="004226D5"/>
    <w:rsid w:val="00422B30"/>
    <w:rsid w:val="00423063"/>
    <w:rsid w:val="00424197"/>
    <w:rsid w:val="004241F4"/>
    <w:rsid w:val="00424CE5"/>
    <w:rsid w:val="0042590E"/>
    <w:rsid w:val="00425926"/>
    <w:rsid w:val="00425928"/>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D3F"/>
    <w:rsid w:val="00431F57"/>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1E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D19"/>
    <w:rsid w:val="00454522"/>
    <w:rsid w:val="00454582"/>
    <w:rsid w:val="00454744"/>
    <w:rsid w:val="004555F2"/>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DA0"/>
    <w:rsid w:val="00473DAB"/>
    <w:rsid w:val="0047403B"/>
    <w:rsid w:val="00474042"/>
    <w:rsid w:val="0047406C"/>
    <w:rsid w:val="00474349"/>
    <w:rsid w:val="004744CD"/>
    <w:rsid w:val="004745CB"/>
    <w:rsid w:val="00474895"/>
    <w:rsid w:val="0047492D"/>
    <w:rsid w:val="00474E2B"/>
    <w:rsid w:val="00474E90"/>
    <w:rsid w:val="004752F7"/>
    <w:rsid w:val="004757C8"/>
    <w:rsid w:val="00475F19"/>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CD9"/>
    <w:rsid w:val="004837D0"/>
    <w:rsid w:val="00483D35"/>
    <w:rsid w:val="00484496"/>
    <w:rsid w:val="004846B9"/>
    <w:rsid w:val="00484AEE"/>
    <w:rsid w:val="00484C9B"/>
    <w:rsid w:val="00484CC7"/>
    <w:rsid w:val="00484D88"/>
    <w:rsid w:val="004855B3"/>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60E3"/>
    <w:rsid w:val="0049628D"/>
    <w:rsid w:val="0049631D"/>
    <w:rsid w:val="004964A3"/>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1DAC"/>
    <w:rsid w:val="004A2082"/>
    <w:rsid w:val="004A253B"/>
    <w:rsid w:val="004A290C"/>
    <w:rsid w:val="004A294C"/>
    <w:rsid w:val="004A2D61"/>
    <w:rsid w:val="004A2DFE"/>
    <w:rsid w:val="004A382D"/>
    <w:rsid w:val="004A409B"/>
    <w:rsid w:val="004A436F"/>
    <w:rsid w:val="004A4693"/>
    <w:rsid w:val="004A479F"/>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3D3"/>
    <w:rsid w:val="004B37DC"/>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384"/>
    <w:rsid w:val="004F06EA"/>
    <w:rsid w:val="004F0A5E"/>
    <w:rsid w:val="004F0B9E"/>
    <w:rsid w:val="004F0DAB"/>
    <w:rsid w:val="004F16B7"/>
    <w:rsid w:val="004F27CF"/>
    <w:rsid w:val="004F2888"/>
    <w:rsid w:val="004F293E"/>
    <w:rsid w:val="004F2C4C"/>
    <w:rsid w:val="004F2EC9"/>
    <w:rsid w:val="004F34E8"/>
    <w:rsid w:val="004F3A7D"/>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227"/>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73C"/>
    <w:rsid w:val="005169BB"/>
    <w:rsid w:val="0051733D"/>
    <w:rsid w:val="0051787B"/>
    <w:rsid w:val="00517F5C"/>
    <w:rsid w:val="0052014E"/>
    <w:rsid w:val="0052064C"/>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F12"/>
    <w:rsid w:val="005623F3"/>
    <w:rsid w:val="0056248E"/>
    <w:rsid w:val="00562D0B"/>
    <w:rsid w:val="00562FEF"/>
    <w:rsid w:val="0056385D"/>
    <w:rsid w:val="00563B43"/>
    <w:rsid w:val="00563D3F"/>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DC"/>
    <w:rsid w:val="005709EE"/>
    <w:rsid w:val="00570B18"/>
    <w:rsid w:val="00570D8C"/>
    <w:rsid w:val="00571552"/>
    <w:rsid w:val="00572889"/>
    <w:rsid w:val="005729C6"/>
    <w:rsid w:val="00572AC6"/>
    <w:rsid w:val="005734D7"/>
    <w:rsid w:val="005736E9"/>
    <w:rsid w:val="0057407D"/>
    <w:rsid w:val="0057430E"/>
    <w:rsid w:val="0057491D"/>
    <w:rsid w:val="00574B39"/>
    <w:rsid w:val="00574EE7"/>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743"/>
    <w:rsid w:val="005919ED"/>
    <w:rsid w:val="005921F9"/>
    <w:rsid w:val="0059237B"/>
    <w:rsid w:val="005928FD"/>
    <w:rsid w:val="00592BF3"/>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F71"/>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EF"/>
    <w:rsid w:val="005C5A44"/>
    <w:rsid w:val="005C5BBB"/>
    <w:rsid w:val="005C65F4"/>
    <w:rsid w:val="005C6614"/>
    <w:rsid w:val="005C6641"/>
    <w:rsid w:val="005C6AA0"/>
    <w:rsid w:val="005C6E06"/>
    <w:rsid w:val="005C7302"/>
    <w:rsid w:val="005C767C"/>
    <w:rsid w:val="005C7A22"/>
    <w:rsid w:val="005D005E"/>
    <w:rsid w:val="005D0086"/>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5637"/>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167C"/>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C0F"/>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0FAD"/>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52E"/>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12C"/>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0E"/>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93F"/>
    <w:rsid w:val="00701B81"/>
    <w:rsid w:val="00701C37"/>
    <w:rsid w:val="00702434"/>
    <w:rsid w:val="00702BD1"/>
    <w:rsid w:val="00702FC9"/>
    <w:rsid w:val="007034FA"/>
    <w:rsid w:val="00703659"/>
    <w:rsid w:val="007037B5"/>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A50"/>
    <w:rsid w:val="00714B47"/>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21ED"/>
    <w:rsid w:val="007225C3"/>
    <w:rsid w:val="00722E44"/>
    <w:rsid w:val="007233F5"/>
    <w:rsid w:val="00723A92"/>
    <w:rsid w:val="00723CFD"/>
    <w:rsid w:val="00723FFF"/>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E77"/>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6BB"/>
    <w:rsid w:val="00754D67"/>
    <w:rsid w:val="007550D5"/>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84F"/>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203"/>
    <w:rsid w:val="00782227"/>
    <w:rsid w:val="00782320"/>
    <w:rsid w:val="0078235D"/>
    <w:rsid w:val="00782C2C"/>
    <w:rsid w:val="00782D41"/>
    <w:rsid w:val="007830B2"/>
    <w:rsid w:val="007830EA"/>
    <w:rsid w:val="007833A2"/>
    <w:rsid w:val="00783451"/>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C0E"/>
    <w:rsid w:val="007E7122"/>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C4B"/>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3AD"/>
    <w:rsid w:val="0082731D"/>
    <w:rsid w:val="008278B8"/>
    <w:rsid w:val="00827AD2"/>
    <w:rsid w:val="00827C49"/>
    <w:rsid w:val="00827F79"/>
    <w:rsid w:val="00827FC4"/>
    <w:rsid w:val="00830606"/>
    <w:rsid w:val="008306C4"/>
    <w:rsid w:val="0083092C"/>
    <w:rsid w:val="00830958"/>
    <w:rsid w:val="00830DC9"/>
    <w:rsid w:val="00831241"/>
    <w:rsid w:val="008313E3"/>
    <w:rsid w:val="00831757"/>
    <w:rsid w:val="008317EC"/>
    <w:rsid w:val="00831EA7"/>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0D36"/>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014"/>
    <w:rsid w:val="00850474"/>
    <w:rsid w:val="00850641"/>
    <w:rsid w:val="00850B20"/>
    <w:rsid w:val="00851246"/>
    <w:rsid w:val="00851348"/>
    <w:rsid w:val="00851779"/>
    <w:rsid w:val="008519F7"/>
    <w:rsid w:val="00851A14"/>
    <w:rsid w:val="00852206"/>
    <w:rsid w:val="00852B56"/>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109B"/>
    <w:rsid w:val="008712DE"/>
    <w:rsid w:val="00871AD6"/>
    <w:rsid w:val="00871FEA"/>
    <w:rsid w:val="008724C4"/>
    <w:rsid w:val="0087285C"/>
    <w:rsid w:val="0087298D"/>
    <w:rsid w:val="008730D2"/>
    <w:rsid w:val="0087322A"/>
    <w:rsid w:val="0087349F"/>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B04"/>
    <w:rsid w:val="008B0E5A"/>
    <w:rsid w:val="008B1039"/>
    <w:rsid w:val="008B1294"/>
    <w:rsid w:val="008B157E"/>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1D3"/>
    <w:rsid w:val="008F792A"/>
    <w:rsid w:val="008F793D"/>
    <w:rsid w:val="008F7C72"/>
    <w:rsid w:val="0090018E"/>
    <w:rsid w:val="009002C2"/>
    <w:rsid w:val="0090063D"/>
    <w:rsid w:val="00900DA9"/>
    <w:rsid w:val="009013FD"/>
    <w:rsid w:val="0090177C"/>
    <w:rsid w:val="00901FA1"/>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1F"/>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D58"/>
    <w:rsid w:val="00974FCB"/>
    <w:rsid w:val="00974FE1"/>
    <w:rsid w:val="009756A1"/>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4AB8"/>
    <w:rsid w:val="009853AC"/>
    <w:rsid w:val="00985670"/>
    <w:rsid w:val="0098616D"/>
    <w:rsid w:val="00986546"/>
    <w:rsid w:val="00986FBC"/>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3C43"/>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E4A"/>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5D"/>
    <w:rsid w:val="009C7737"/>
    <w:rsid w:val="009C7893"/>
    <w:rsid w:val="009C7E11"/>
    <w:rsid w:val="009D0A9D"/>
    <w:rsid w:val="009D0E15"/>
    <w:rsid w:val="009D0F82"/>
    <w:rsid w:val="009D1933"/>
    <w:rsid w:val="009D1D53"/>
    <w:rsid w:val="009D2325"/>
    <w:rsid w:val="009D253D"/>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6C"/>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FD3"/>
    <w:rsid w:val="009F2FED"/>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D2A"/>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68D"/>
    <w:rsid w:val="00A25A6F"/>
    <w:rsid w:val="00A25E5E"/>
    <w:rsid w:val="00A2614E"/>
    <w:rsid w:val="00A263FA"/>
    <w:rsid w:val="00A266C8"/>
    <w:rsid w:val="00A26A03"/>
    <w:rsid w:val="00A26FAE"/>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9F"/>
    <w:rsid w:val="00A34C2C"/>
    <w:rsid w:val="00A357F6"/>
    <w:rsid w:val="00A3585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67A"/>
    <w:rsid w:val="00A54B32"/>
    <w:rsid w:val="00A551BE"/>
    <w:rsid w:val="00A551E2"/>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0"/>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F2A"/>
    <w:rsid w:val="00AB0BA1"/>
    <w:rsid w:val="00AB0D30"/>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31A"/>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D83"/>
    <w:rsid w:val="00B13328"/>
    <w:rsid w:val="00B13A88"/>
    <w:rsid w:val="00B13B64"/>
    <w:rsid w:val="00B13F9D"/>
    <w:rsid w:val="00B1438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20132"/>
    <w:rsid w:val="00B20A0A"/>
    <w:rsid w:val="00B20B7A"/>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B7B"/>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58D"/>
    <w:rsid w:val="00B43913"/>
    <w:rsid w:val="00B43D6A"/>
    <w:rsid w:val="00B440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759"/>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77E"/>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412"/>
    <w:rsid w:val="00BF2AA3"/>
    <w:rsid w:val="00BF2E33"/>
    <w:rsid w:val="00BF2FBF"/>
    <w:rsid w:val="00BF35BC"/>
    <w:rsid w:val="00BF3B22"/>
    <w:rsid w:val="00BF4100"/>
    <w:rsid w:val="00BF4458"/>
    <w:rsid w:val="00BF486D"/>
    <w:rsid w:val="00BF48C5"/>
    <w:rsid w:val="00BF48FA"/>
    <w:rsid w:val="00BF50AE"/>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3A8"/>
    <w:rsid w:val="00C06407"/>
    <w:rsid w:val="00C067F9"/>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7C4"/>
    <w:rsid w:val="00C247FD"/>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87"/>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938"/>
    <w:rsid w:val="00C47B4E"/>
    <w:rsid w:val="00C47B83"/>
    <w:rsid w:val="00C47CA6"/>
    <w:rsid w:val="00C5077C"/>
    <w:rsid w:val="00C514BC"/>
    <w:rsid w:val="00C515A3"/>
    <w:rsid w:val="00C51D3E"/>
    <w:rsid w:val="00C51D4C"/>
    <w:rsid w:val="00C51F50"/>
    <w:rsid w:val="00C52CA6"/>
    <w:rsid w:val="00C52DEC"/>
    <w:rsid w:val="00C52EB1"/>
    <w:rsid w:val="00C53230"/>
    <w:rsid w:val="00C53622"/>
    <w:rsid w:val="00C53681"/>
    <w:rsid w:val="00C539D2"/>
    <w:rsid w:val="00C539E3"/>
    <w:rsid w:val="00C54465"/>
    <w:rsid w:val="00C54CE2"/>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602F7"/>
    <w:rsid w:val="00C60335"/>
    <w:rsid w:val="00C605C4"/>
    <w:rsid w:val="00C606AC"/>
    <w:rsid w:val="00C607D9"/>
    <w:rsid w:val="00C609FF"/>
    <w:rsid w:val="00C60A1C"/>
    <w:rsid w:val="00C60C68"/>
    <w:rsid w:val="00C6111E"/>
    <w:rsid w:val="00C6194C"/>
    <w:rsid w:val="00C6225C"/>
    <w:rsid w:val="00C624C4"/>
    <w:rsid w:val="00C63250"/>
    <w:rsid w:val="00C6339E"/>
    <w:rsid w:val="00C635BF"/>
    <w:rsid w:val="00C63E9B"/>
    <w:rsid w:val="00C642C7"/>
    <w:rsid w:val="00C64B52"/>
    <w:rsid w:val="00C64CA7"/>
    <w:rsid w:val="00C65023"/>
    <w:rsid w:val="00C65515"/>
    <w:rsid w:val="00C655FF"/>
    <w:rsid w:val="00C6569E"/>
    <w:rsid w:val="00C65AA9"/>
    <w:rsid w:val="00C65BA6"/>
    <w:rsid w:val="00C65CFC"/>
    <w:rsid w:val="00C662EF"/>
    <w:rsid w:val="00C664B1"/>
    <w:rsid w:val="00C66D25"/>
    <w:rsid w:val="00C66D44"/>
    <w:rsid w:val="00C673BD"/>
    <w:rsid w:val="00C677CF"/>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238"/>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94A"/>
    <w:rsid w:val="00CD5A74"/>
    <w:rsid w:val="00CD5D18"/>
    <w:rsid w:val="00CD5E5A"/>
    <w:rsid w:val="00CD5E8A"/>
    <w:rsid w:val="00CD6049"/>
    <w:rsid w:val="00CD6482"/>
    <w:rsid w:val="00CD6B76"/>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876"/>
    <w:rsid w:val="00CE2C7B"/>
    <w:rsid w:val="00CE33C9"/>
    <w:rsid w:val="00CE3686"/>
    <w:rsid w:val="00CE3EFA"/>
    <w:rsid w:val="00CE4518"/>
    <w:rsid w:val="00CE4779"/>
    <w:rsid w:val="00CE56D6"/>
    <w:rsid w:val="00CE59FA"/>
    <w:rsid w:val="00CE5DC8"/>
    <w:rsid w:val="00CE60E7"/>
    <w:rsid w:val="00CE6330"/>
    <w:rsid w:val="00CE64AB"/>
    <w:rsid w:val="00CE6623"/>
    <w:rsid w:val="00CE6744"/>
    <w:rsid w:val="00CE699F"/>
    <w:rsid w:val="00CE726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42"/>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3D98"/>
    <w:rsid w:val="00D3421F"/>
    <w:rsid w:val="00D3427F"/>
    <w:rsid w:val="00D342EF"/>
    <w:rsid w:val="00D343C8"/>
    <w:rsid w:val="00D34602"/>
    <w:rsid w:val="00D34D45"/>
    <w:rsid w:val="00D3533A"/>
    <w:rsid w:val="00D35848"/>
    <w:rsid w:val="00D35D5F"/>
    <w:rsid w:val="00D360B4"/>
    <w:rsid w:val="00D36845"/>
    <w:rsid w:val="00D36B50"/>
    <w:rsid w:val="00D36FF1"/>
    <w:rsid w:val="00D374E6"/>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7F2"/>
    <w:rsid w:val="00D54833"/>
    <w:rsid w:val="00D549F4"/>
    <w:rsid w:val="00D54D08"/>
    <w:rsid w:val="00D5535C"/>
    <w:rsid w:val="00D5541B"/>
    <w:rsid w:val="00D5564A"/>
    <w:rsid w:val="00D55683"/>
    <w:rsid w:val="00D55AFA"/>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0C8"/>
    <w:rsid w:val="00D71430"/>
    <w:rsid w:val="00D71445"/>
    <w:rsid w:val="00D7152D"/>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A1F"/>
    <w:rsid w:val="00D73E16"/>
    <w:rsid w:val="00D74437"/>
    <w:rsid w:val="00D748BF"/>
    <w:rsid w:val="00D74F1B"/>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26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D7E3F"/>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E39"/>
    <w:rsid w:val="00DE40C1"/>
    <w:rsid w:val="00DE40D7"/>
    <w:rsid w:val="00DE4390"/>
    <w:rsid w:val="00DE4472"/>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97B"/>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F30"/>
    <w:rsid w:val="00E47F34"/>
    <w:rsid w:val="00E5038B"/>
    <w:rsid w:val="00E50706"/>
    <w:rsid w:val="00E5148F"/>
    <w:rsid w:val="00E5155A"/>
    <w:rsid w:val="00E51867"/>
    <w:rsid w:val="00E51DB3"/>
    <w:rsid w:val="00E5200A"/>
    <w:rsid w:val="00E526E5"/>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67921"/>
    <w:rsid w:val="00E7005A"/>
    <w:rsid w:val="00E70245"/>
    <w:rsid w:val="00E702A9"/>
    <w:rsid w:val="00E702D1"/>
    <w:rsid w:val="00E7150C"/>
    <w:rsid w:val="00E71513"/>
    <w:rsid w:val="00E71CC6"/>
    <w:rsid w:val="00E71FC8"/>
    <w:rsid w:val="00E72070"/>
    <w:rsid w:val="00E721BB"/>
    <w:rsid w:val="00E722F6"/>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919"/>
    <w:rsid w:val="00EA5D57"/>
    <w:rsid w:val="00EA5D61"/>
    <w:rsid w:val="00EA61D3"/>
    <w:rsid w:val="00EA6606"/>
    <w:rsid w:val="00EA67CE"/>
    <w:rsid w:val="00EA6BF7"/>
    <w:rsid w:val="00EA6ED2"/>
    <w:rsid w:val="00EA72C6"/>
    <w:rsid w:val="00EA7363"/>
    <w:rsid w:val="00EA75ED"/>
    <w:rsid w:val="00EA78FC"/>
    <w:rsid w:val="00EA7B5C"/>
    <w:rsid w:val="00EB0BD6"/>
    <w:rsid w:val="00EB0C09"/>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0F3"/>
    <w:rsid w:val="00EC019C"/>
    <w:rsid w:val="00EC01F2"/>
    <w:rsid w:val="00EC034B"/>
    <w:rsid w:val="00EC0955"/>
    <w:rsid w:val="00EC09F6"/>
    <w:rsid w:val="00EC1216"/>
    <w:rsid w:val="00EC1782"/>
    <w:rsid w:val="00EC1B22"/>
    <w:rsid w:val="00EC2555"/>
    <w:rsid w:val="00EC2960"/>
    <w:rsid w:val="00EC2CF8"/>
    <w:rsid w:val="00EC2D1B"/>
    <w:rsid w:val="00EC2DAF"/>
    <w:rsid w:val="00EC34D6"/>
    <w:rsid w:val="00EC404E"/>
    <w:rsid w:val="00EC5191"/>
    <w:rsid w:val="00EC51B5"/>
    <w:rsid w:val="00EC51FD"/>
    <w:rsid w:val="00EC546B"/>
    <w:rsid w:val="00EC5FDC"/>
    <w:rsid w:val="00EC6055"/>
    <w:rsid w:val="00EC613F"/>
    <w:rsid w:val="00EC6511"/>
    <w:rsid w:val="00EC65EB"/>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6E7"/>
    <w:rsid w:val="00ED3711"/>
    <w:rsid w:val="00ED3878"/>
    <w:rsid w:val="00ED3952"/>
    <w:rsid w:val="00ED401D"/>
    <w:rsid w:val="00ED4121"/>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B6B"/>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28D"/>
    <w:rsid w:val="00F20AF4"/>
    <w:rsid w:val="00F20C5A"/>
    <w:rsid w:val="00F20CD3"/>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3FA7"/>
    <w:rsid w:val="00F25093"/>
    <w:rsid w:val="00F250C3"/>
    <w:rsid w:val="00F25257"/>
    <w:rsid w:val="00F2546E"/>
    <w:rsid w:val="00F254C5"/>
    <w:rsid w:val="00F25ED2"/>
    <w:rsid w:val="00F261C3"/>
    <w:rsid w:val="00F26431"/>
    <w:rsid w:val="00F2665C"/>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5E8"/>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F06"/>
    <w:rsid w:val="00F87307"/>
    <w:rsid w:val="00F874CB"/>
    <w:rsid w:val="00F876CA"/>
    <w:rsid w:val="00F87E21"/>
    <w:rsid w:val="00F9001E"/>
    <w:rsid w:val="00F90D11"/>
    <w:rsid w:val="00F91074"/>
    <w:rsid w:val="00F9117E"/>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AD"/>
    <w:rsid w:val="00FA31FA"/>
    <w:rsid w:val="00FA33DD"/>
    <w:rsid w:val="00FA35F5"/>
    <w:rsid w:val="00FA3856"/>
    <w:rsid w:val="00FA3B69"/>
    <w:rsid w:val="00FA3C38"/>
    <w:rsid w:val="00FA3ED4"/>
    <w:rsid w:val="00FA4D8E"/>
    <w:rsid w:val="00FA4E62"/>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82"/>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F15"/>
    <w:rsid w:val="00FC223A"/>
    <w:rsid w:val="00FC2486"/>
    <w:rsid w:val="00FC262E"/>
    <w:rsid w:val="00FC2695"/>
    <w:rsid w:val="00FC281A"/>
    <w:rsid w:val="00FC284F"/>
    <w:rsid w:val="00FC2991"/>
    <w:rsid w:val="00FC2B5D"/>
    <w:rsid w:val="00FC2F32"/>
    <w:rsid w:val="00FC3328"/>
    <w:rsid w:val="00FC3885"/>
    <w:rsid w:val="00FC3BEF"/>
    <w:rsid w:val="00FC3DAE"/>
    <w:rsid w:val="00FC4B84"/>
    <w:rsid w:val="00FC4DC7"/>
    <w:rsid w:val="00FC57FC"/>
    <w:rsid w:val="00FC59B4"/>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1AC"/>
    <w:rsid w:val="00FD324D"/>
    <w:rsid w:val="00FD360C"/>
    <w:rsid w:val="00FD3B55"/>
    <w:rsid w:val="00FD437B"/>
    <w:rsid w:val="00FD43A0"/>
    <w:rsid w:val="00FD4859"/>
    <w:rsid w:val="00FD54F6"/>
    <w:rsid w:val="00FD5511"/>
    <w:rsid w:val="00FD5C39"/>
    <w:rsid w:val="00FD6104"/>
    <w:rsid w:val="00FD6540"/>
    <w:rsid w:val="00FD6C64"/>
    <w:rsid w:val="00FD75BE"/>
    <w:rsid w:val="00FD7683"/>
    <w:rsid w:val="00FD76F5"/>
    <w:rsid w:val="00FD7FE6"/>
    <w:rsid w:val="00FE0389"/>
    <w:rsid w:val="00FE05B4"/>
    <w:rsid w:val="00FE0C3D"/>
    <w:rsid w:val="00FE0D02"/>
    <w:rsid w:val="00FE0E64"/>
    <w:rsid w:val="00FE11B7"/>
    <w:rsid w:val="00FE1350"/>
    <w:rsid w:val="00FE14A9"/>
    <w:rsid w:val="00FE1AC8"/>
    <w:rsid w:val="00FE1C57"/>
    <w:rsid w:val="00FE22D4"/>
    <w:rsid w:val="00FE23C2"/>
    <w:rsid w:val="00FE2B1B"/>
    <w:rsid w:val="00FE2BCC"/>
    <w:rsid w:val="00FE3089"/>
    <w:rsid w:val="00FE3112"/>
    <w:rsid w:val="00FE3674"/>
    <w:rsid w:val="00FE40BD"/>
    <w:rsid w:val="00FE435D"/>
    <w:rsid w:val="00FE4743"/>
    <w:rsid w:val="00FE5906"/>
    <w:rsid w:val="00FE590E"/>
    <w:rsid w:val="00FE5B0F"/>
    <w:rsid w:val="00FE5B26"/>
    <w:rsid w:val="00FE5E62"/>
    <w:rsid w:val="00FE6523"/>
    <w:rsid w:val="00FE6A1D"/>
    <w:rsid w:val="00FE6CC9"/>
    <w:rsid w:val="00FE7234"/>
    <w:rsid w:val="00FE793B"/>
    <w:rsid w:val="00FE7A21"/>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D75D1"/>
    <w:rsid w:val="0115454E"/>
    <w:rsid w:val="01242C11"/>
    <w:rsid w:val="013B5510"/>
    <w:rsid w:val="013D13C6"/>
    <w:rsid w:val="01422B07"/>
    <w:rsid w:val="01462EFE"/>
    <w:rsid w:val="015E0BE9"/>
    <w:rsid w:val="018F1416"/>
    <w:rsid w:val="01AB094A"/>
    <w:rsid w:val="01AE21DC"/>
    <w:rsid w:val="01B306E4"/>
    <w:rsid w:val="01D27A5F"/>
    <w:rsid w:val="0201766A"/>
    <w:rsid w:val="02151F95"/>
    <w:rsid w:val="022E47B0"/>
    <w:rsid w:val="02554999"/>
    <w:rsid w:val="02574326"/>
    <w:rsid w:val="025B75F9"/>
    <w:rsid w:val="02670093"/>
    <w:rsid w:val="02767EF6"/>
    <w:rsid w:val="029F5A0D"/>
    <w:rsid w:val="02B34E07"/>
    <w:rsid w:val="02E818F1"/>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792943"/>
    <w:rsid w:val="07A46BE4"/>
    <w:rsid w:val="07AE7932"/>
    <w:rsid w:val="07B814E5"/>
    <w:rsid w:val="07D013A8"/>
    <w:rsid w:val="07D648D8"/>
    <w:rsid w:val="07FD44E9"/>
    <w:rsid w:val="0805407D"/>
    <w:rsid w:val="08127126"/>
    <w:rsid w:val="08132E8B"/>
    <w:rsid w:val="081D706E"/>
    <w:rsid w:val="084E04A3"/>
    <w:rsid w:val="085D519A"/>
    <w:rsid w:val="086D1BC3"/>
    <w:rsid w:val="08706B4B"/>
    <w:rsid w:val="088B79C8"/>
    <w:rsid w:val="08CE61CB"/>
    <w:rsid w:val="08D2064E"/>
    <w:rsid w:val="08F44BC5"/>
    <w:rsid w:val="08F665E5"/>
    <w:rsid w:val="08FA203B"/>
    <w:rsid w:val="092A6F5E"/>
    <w:rsid w:val="094B14E7"/>
    <w:rsid w:val="095256C8"/>
    <w:rsid w:val="09AB29D4"/>
    <w:rsid w:val="09B92EA2"/>
    <w:rsid w:val="0A32370E"/>
    <w:rsid w:val="0A3247B9"/>
    <w:rsid w:val="0A585A2D"/>
    <w:rsid w:val="0A594E3E"/>
    <w:rsid w:val="0A5C768D"/>
    <w:rsid w:val="0A6F50FD"/>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1D70C9"/>
    <w:rsid w:val="0C4A6A6A"/>
    <w:rsid w:val="0C6F4E58"/>
    <w:rsid w:val="0C734A05"/>
    <w:rsid w:val="0CE62C91"/>
    <w:rsid w:val="0CFB1DB9"/>
    <w:rsid w:val="0D1A4B94"/>
    <w:rsid w:val="0D220294"/>
    <w:rsid w:val="0D3A4A42"/>
    <w:rsid w:val="0D5773D6"/>
    <w:rsid w:val="0D594DB6"/>
    <w:rsid w:val="0D632B1E"/>
    <w:rsid w:val="0D7D7848"/>
    <w:rsid w:val="0D8E173E"/>
    <w:rsid w:val="0DA10A04"/>
    <w:rsid w:val="0DF13B47"/>
    <w:rsid w:val="0E0A5187"/>
    <w:rsid w:val="0E332166"/>
    <w:rsid w:val="0E3917FF"/>
    <w:rsid w:val="0E4732EB"/>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0FE42AE4"/>
    <w:rsid w:val="10040C3F"/>
    <w:rsid w:val="100B59FA"/>
    <w:rsid w:val="10110CDB"/>
    <w:rsid w:val="10206D1E"/>
    <w:rsid w:val="10357330"/>
    <w:rsid w:val="105F040B"/>
    <w:rsid w:val="107A5169"/>
    <w:rsid w:val="107B4EBF"/>
    <w:rsid w:val="107C4D2C"/>
    <w:rsid w:val="10841958"/>
    <w:rsid w:val="10881C30"/>
    <w:rsid w:val="108A6F8A"/>
    <w:rsid w:val="10A32DF1"/>
    <w:rsid w:val="10A50D79"/>
    <w:rsid w:val="10AB24DF"/>
    <w:rsid w:val="10D653BA"/>
    <w:rsid w:val="10DB6356"/>
    <w:rsid w:val="10EF5ED1"/>
    <w:rsid w:val="112A5200"/>
    <w:rsid w:val="112B7604"/>
    <w:rsid w:val="11306888"/>
    <w:rsid w:val="1168799E"/>
    <w:rsid w:val="118B5FDD"/>
    <w:rsid w:val="11A64DBC"/>
    <w:rsid w:val="11AF324A"/>
    <w:rsid w:val="1228310E"/>
    <w:rsid w:val="12325B1D"/>
    <w:rsid w:val="1244691E"/>
    <w:rsid w:val="12481122"/>
    <w:rsid w:val="1251591B"/>
    <w:rsid w:val="12610602"/>
    <w:rsid w:val="126B461E"/>
    <w:rsid w:val="127D72F2"/>
    <w:rsid w:val="12A908D3"/>
    <w:rsid w:val="12AA7F02"/>
    <w:rsid w:val="12B47253"/>
    <w:rsid w:val="12DE33CA"/>
    <w:rsid w:val="12FF52DE"/>
    <w:rsid w:val="13344C16"/>
    <w:rsid w:val="1343505A"/>
    <w:rsid w:val="13544A6B"/>
    <w:rsid w:val="137A40BD"/>
    <w:rsid w:val="138315C3"/>
    <w:rsid w:val="13910B1E"/>
    <w:rsid w:val="13B563DA"/>
    <w:rsid w:val="13BD31AB"/>
    <w:rsid w:val="13CD27B6"/>
    <w:rsid w:val="13DB260D"/>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256D9"/>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4224E7"/>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EC1565"/>
    <w:rsid w:val="18F5052C"/>
    <w:rsid w:val="191D14D9"/>
    <w:rsid w:val="19312A02"/>
    <w:rsid w:val="193141C3"/>
    <w:rsid w:val="19693EEF"/>
    <w:rsid w:val="196B5F41"/>
    <w:rsid w:val="19706668"/>
    <w:rsid w:val="19D1732F"/>
    <w:rsid w:val="1A200A74"/>
    <w:rsid w:val="1A2E3C7B"/>
    <w:rsid w:val="1A2F2398"/>
    <w:rsid w:val="1A3055B8"/>
    <w:rsid w:val="1A366DA0"/>
    <w:rsid w:val="1A5655AF"/>
    <w:rsid w:val="1A6B5CD7"/>
    <w:rsid w:val="1A9B675D"/>
    <w:rsid w:val="1ADE3E70"/>
    <w:rsid w:val="1AE42348"/>
    <w:rsid w:val="1AF2383D"/>
    <w:rsid w:val="1B157C1A"/>
    <w:rsid w:val="1B1A6E4B"/>
    <w:rsid w:val="1B211C8A"/>
    <w:rsid w:val="1B325062"/>
    <w:rsid w:val="1B572C7F"/>
    <w:rsid w:val="1B5734B2"/>
    <w:rsid w:val="1B7718AD"/>
    <w:rsid w:val="1B99173F"/>
    <w:rsid w:val="1B9E5782"/>
    <w:rsid w:val="1B9F2F5B"/>
    <w:rsid w:val="1BA31D38"/>
    <w:rsid w:val="1BB15A38"/>
    <w:rsid w:val="1BB32D92"/>
    <w:rsid w:val="1BCA4E13"/>
    <w:rsid w:val="1BE75134"/>
    <w:rsid w:val="1BEB39AC"/>
    <w:rsid w:val="1C3C5A93"/>
    <w:rsid w:val="1C3D2E04"/>
    <w:rsid w:val="1C3D5C01"/>
    <w:rsid w:val="1C405D57"/>
    <w:rsid w:val="1C4852DE"/>
    <w:rsid w:val="1C4D45E0"/>
    <w:rsid w:val="1CB701AA"/>
    <w:rsid w:val="1CCA0F66"/>
    <w:rsid w:val="1CDE446D"/>
    <w:rsid w:val="1CE20210"/>
    <w:rsid w:val="1D464FEE"/>
    <w:rsid w:val="1D644902"/>
    <w:rsid w:val="1D8C2BA2"/>
    <w:rsid w:val="1D905228"/>
    <w:rsid w:val="1DCC2895"/>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A415FD"/>
    <w:rsid w:val="1FB23680"/>
    <w:rsid w:val="1FCB673D"/>
    <w:rsid w:val="1FEE648E"/>
    <w:rsid w:val="1FF433BA"/>
    <w:rsid w:val="1FF9202F"/>
    <w:rsid w:val="20003026"/>
    <w:rsid w:val="200F3B23"/>
    <w:rsid w:val="201967D7"/>
    <w:rsid w:val="20374786"/>
    <w:rsid w:val="2039386F"/>
    <w:rsid w:val="204258D5"/>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D92A69"/>
    <w:rsid w:val="24E521A7"/>
    <w:rsid w:val="24EC3BCA"/>
    <w:rsid w:val="24EC4ADF"/>
    <w:rsid w:val="24EF6448"/>
    <w:rsid w:val="24F71B8F"/>
    <w:rsid w:val="24F92CDE"/>
    <w:rsid w:val="250C0B5D"/>
    <w:rsid w:val="25335BFF"/>
    <w:rsid w:val="253D4E51"/>
    <w:rsid w:val="25462DA6"/>
    <w:rsid w:val="256E44F5"/>
    <w:rsid w:val="25893EFE"/>
    <w:rsid w:val="25BE6749"/>
    <w:rsid w:val="25DE0185"/>
    <w:rsid w:val="25E04003"/>
    <w:rsid w:val="25EE6875"/>
    <w:rsid w:val="260C334C"/>
    <w:rsid w:val="26276BC7"/>
    <w:rsid w:val="26412189"/>
    <w:rsid w:val="26517452"/>
    <w:rsid w:val="26566E1C"/>
    <w:rsid w:val="26613AD3"/>
    <w:rsid w:val="26A10A64"/>
    <w:rsid w:val="26A24282"/>
    <w:rsid w:val="26BB6790"/>
    <w:rsid w:val="26C84C3F"/>
    <w:rsid w:val="26CA39FA"/>
    <w:rsid w:val="26D85E33"/>
    <w:rsid w:val="26DB2072"/>
    <w:rsid w:val="270F1235"/>
    <w:rsid w:val="271D238B"/>
    <w:rsid w:val="273460AC"/>
    <w:rsid w:val="2737495D"/>
    <w:rsid w:val="27862FAB"/>
    <w:rsid w:val="278F67DD"/>
    <w:rsid w:val="279370CA"/>
    <w:rsid w:val="27B778B7"/>
    <w:rsid w:val="27CE4805"/>
    <w:rsid w:val="27DC01C9"/>
    <w:rsid w:val="27EA6D62"/>
    <w:rsid w:val="28300784"/>
    <w:rsid w:val="283F2A39"/>
    <w:rsid w:val="28630E79"/>
    <w:rsid w:val="289E6725"/>
    <w:rsid w:val="28C0611A"/>
    <w:rsid w:val="28E2641E"/>
    <w:rsid w:val="29057EC1"/>
    <w:rsid w:val="290E28AF"/>
    <w:rsid w:val="292011C8"/>
    <w:rsid w:val="293757A5"/>
    <w:rsid w:val="293D0E03"/>
    <w:rsid w:val="293F5958"/>
    <w:rsid w:val="294A094A"/>
    <w:rsid w:val="29864976"/>
    <w:rsid w:val="29C52E87"/>
    <w:rsid w:val="29D9317B"/>
    <w:rsid w:val="29EB486B"/>
    <w:rsid w:val="29F04EAF"/>
    <w:rsid w:val="29F116D0"/>
    <w:rsid w:val="2A0241CA"/>
    <w:rsid w:val="2A0777DB"/>
    <w:rsid w:val="2A1E7E82"/>
    <w:rsid w:val="2A7D5C08"/>
    <w:rsid w:val="2A90033E"/>
    <w:rsid w:val="2AA47786"/>
    <w:rsid w:val="2AAA19F3"/>
    <w:rsid w:val="2AAD65EE"/>
    <w:rsid w:val="2AC77380"/>
    <w:rsid w:val="2ADD6AFD"/>
    <w:rsid w:val="2ADE6550"/>
    <w:rsid w:val="2AFE0D9C"/>
    <w:rsid w:val="2B2B49FC"/>
    <w:rsid w:val="2B2E0309"/>
    <w:rsid w:val="2B422946"/>
    <w:rsid w:val="2B5B34DC"/>
    <w:rsid w:val="2B76579E"/>
    <w:rsid w:val="2B831E93"/>
    <w:rsid w:val="2BA57D96"/>
    <w:rsid w:val="2BAE29A1"/>
    <w:rsid w:val="2BBE438D"/>
    <w:rsid w:val="2BD460FD"/>
    <w:rsid w:val="2BE373EE"/>
    <w:rsid w:val="2C295EB9"/>
    <w:rsid w:val="2C35729B"/>
    <w:rsid w:val="2C4628DA"/>
    <w:rsid w:val="2C622710"/>
    <w:rsid w:val="2C7A1A31"/>
    <w:rsid w:val="2C7C7D79"/>
    <w:rsid w:val="2C9466E2"/>
    <w:rsid w:val="2C9F7A80"/>
    <w:rsid w:val="2CAF6B04"/>
    <w:rsid w:val="2CB0279E"/>
    <w:rsid w:val="2CD12AE5"/>
    <w:rsid w:val="2CF86646"/>
    <w:rsid w:val="2D310CA2"/>
    <w:rsid w:val="2D3A323B"/>
    <w:rsid w:val="2D4B55E5"/>
    <w:rsid w:val="2D4C0E6E"/>
    <w:rsid w:val="2D53589F"/>
    <w:rsid w:val="2D7646A7"/>
    <w:rsid w:val="2DDA7850"/>
    <w:rsid w:val="2DDC0104"/>
    <w:rsid w:val="2DE379BB"/>
    <w:rsid w:val="2E0177B9"/>
    <w:rsid w:val="2E034F95"/>
    <w:rsid w:val="2E090F9F"/>
    <w:rsid w:val="2E1D2BF2"/>
    <w:rsid w:val="2E2336D4"/>
    <w:rsid w:val="2E3B2A47"/>
    <w:rsid w:val="2E6003A4"/>
    <w:rsid w:val="2E69729D"/>
    <w:rsid w:val="2E6E4CEA"/>
    <w:rsid w:val="2E8543E2"/>
    <w:rsid w:val="2E9B575E"/>
    <w:rsid w:val="2EB50951"/>
    <w:rsid w:val="2EB673FD"/>
    <w:rsid w:val="2EB809B1"/>
    <w:rsid w:val="2EB81831"/>
    <w:rsid w:val="2ECF7A85"/>
    <w:rsid w:val="2EE054B3"/>
    <w:rsid w:val="2F2B5ABF"/>
    <w:rsid w:val="2F2E604D"/>
    <w:rsid w:val="2F417886"/>
    <w:rsid w:val="2F60149B"/>
    <w:rsid w:val="2F882E85"/>
    <w:rsid w:val="2F9A7F4A"/>
    <w:rsid w:val="2FC733B8"/>
    <w:rsid w:val="2FCA4F20"/>
    <w:rsid w:val="300C4C70"/>
    <w:rsid w:val="301E6C47"/>
    <w:rsid w:val="303371BB"/>
    <w:rsid w:val="3044399D"/>
    <w:rsid w:val="305868C6"/>
    <w:rsid w:val="306445C1"/>
    <w:rsid w:val="306F3DBA"/>
    <w:rsid w:val="30770DFD"/>
    <w:rsid w:val="30896C6B"/>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D6ADC"/>
    <w:rsid w:val="324F04DB"/>
    <w:rsid w:val="32702FC0"/>
    <w:rsid w:val="327144B7"/>
    <w:rsid w:val="32CA65F9"/>
    <w:rsid w:val="33054854"/>
    <w:rsid w:val="33064DC6"/>
    <w:rsid w:val="330A16FB"/>
    <w:rsid w:val="33141FF7"/>
    <w:rsid w:val="33482976"/>
    <w:rsid w:val="334E69D4"/>
    <w:rsid w:val="33506C9F"/>
    <w:rsid w:val="335B7AAA"/>
    <w:rsid w:val="33775E05"/>
    <w:rsid w:val="338574F9"/>
    <w:rsid w:val="33A078AB"/>
    <w:rsid w:val="33A222F8"/>
    <w:rsid w:val="33B85C62"/>
    <w:rsid w:val="33C3614F"/>
    <w:rsid w:val="33D45134"/>
    <w:rsid w:val="33D62B96"/>
    <w:rsid w:val="33E32DB1"/>
    <w:rsid w:val="33E37BAA"/>
    <w:rsid w:val="344127C5"/>
    <w:rsid w:val="34526E6E"/>
    <w:rsid w:val="345B1895"/>
    <w:rsid w:val="3485590E"/>
    <w:rsid w:val="34946C2E"/>
    <w:rsid w:val="34A24AD6"/>
    <w:rsid w:val="34C04708"/>
    <w:rsid w:val="34D46D17"/>
    <w:rsid w:val="34DA6CA0"/>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C90D6B"/>
    <w:rsid w:val="36CC54E5"/>
    <w:rsid w:val="36ED465C"/>
    <w:rsid w:val="370058B6"/>
    <w:rsid w:val="37066B46"/>
    <w:rsid w:val="37221F52"/>
    <w:rsid w:val="37344959"/>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3F6F37"/>
    <w:rsid w:val="3A663EB0"/>
    <w:rsid w:val="3A87071A"/>
    <w:rsid w:val="3A9B7C92"/>
    <w:rsid w:val="3AAC76F2"/>
    <w:rsid w:val="3AAD5CAC"/>
    <w:rsid w:val="3AD8079E"/>
    <w:rsid w:val="3AF05E33"/>
    <w:rsid w:val="3AF1344F"/>
    <w:rsid w:val="3B1C5B19"/>
    <w:rsid w:val="3B362C4D"/>
    <w:rsid w:val="3B942B73"/>
    <w:rsid w:val="3B9674D7"/>
    <w:rsid w:val="3BA20424"/>
    <w:rsid w:val="3BB27F7D"/>
    <w:rsid w:val="3BB335AC"/>
    <w:rsid w:val="3BD3067E"/>
    <w:rsid w:val="3BD53AB5"/>
    <w:rsid w:val="3BEF40B2"/>
    <w:rsid w:val="3BFF61D4"/>
    <w:rsid w:val="3C0104C3"/>
    <w:rsid w:val="3C262C87"/>
    <w:rsid w:val="3C3C39A0"/>
    <w:rsid w:val="3C5A7EF6"/>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697499"/>
    <w:rsid w:val="3E786B14"/>
    <w:rsid w:val="3E860F10"/>
    <w:rsid w:val="3E913ADC"/>
    <w:rsid w:val="3E922B85"/>
    <w:rsid w:val="3E922D59"/>
    <w:rsid w:val="3EA3700C"/>
    <w:rsid w:val="3EB02205"/>
    <w:rsid w:val="3EB47903"/>
    <w:rsid w:val="3ED7637C"/>
    <w:rsid w:val="3EDF0CF3"/>
    <w:rsid w:val="3EE8557E"/>
    <w:rsid w:val="3EED740D"/>
    <w:rsid w:val="3F2C1065"/>
    <w:rsid w:val="3F2F6BD0"/>
    <w:rsid w:val="3F3330FC"/>
    <w:rsid w:val="3F397D57"/>
    <w:rsid w:val="3F4E48BC"/>
    <w:rsid w:val="3F4F338A"/>
    <w:rsid w:val="3F4F56AB"/>
    <w:rsid w:val="3F5C510C"/>
    <w:rsid w:val="3F626C9D"/>
    <w:rsid w:val="3F652B34"/>
    <w:rsid w:val="3F9529AF"/>
    <w:rsid w:val="3FB1447F"/>
    <w:rsid w:val="3FC35AFC"/>
    <w:rsid w:val="3FC41983"/>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1708DE"/>
    <w:rsid w:val="43262E27"/>
    <w:rsid w:val="434841F7"/>
    <w:rsid w:val="434D6B99"/>
    <w:rsid w:val="437F792B"/>
    <w:rsid w:val="43BE214E"/>
    <w:rsid w:val="43DC3C49"/>
    <w:rsid w:val="43ED298C"/>
    <w:rsid w:val="43EF2991"/>
    <w:rsid w:val="43F4696E"/>
    <w:rsid w:val="44597BEE"/>
    <w:rsid w:val="446B574A"/>
    <w:rsid w:val="447A4753"/>
    <w:rsid w:val="44DD300E"/>
    <w:rsid w:val="44E2656D"/>
    <w:rsid w:val="44F11452"/>
    <w:rsid w:val="45177BA4"/>
    <w:rsid w:val="451C551F"/>
    <w:rsid w:val="451D3FE9"/>
    <w:rsid w:val="451F3CCA"/>
    <w:rsid w:val="45341196"/>
    <w:rsid w:val="45493A4F"/>
    <w:rsid w:val="454E4188"/>
    <w:rsid w:val="45727755"/>
    <w:rsid w:val="457C2094"/>
    <w:rsid w:val="45BA5028"/>
    <w:rsid w:val="45CA6C10"/>
    <w:rsid w:val="45D01294"/>
    <w:rsid w:val="45E03532"/>
    <w:rsid w:val="462D5957"/>
    <w:rsid w:val="465346A2"/>
    <w:rsid w:val="46586687"/>
    <w:rsid w:val="466309D9"/>
    <w:rsid w:val="466A2150"/>
    <w:rsid w:val="466D3B0A"/>
    <w:rsid w:val="46716803"/>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5E5615"/>
    <w:rsid w:val="48811612"/>
    <w:rsid w:val="488818E0"/>
    <w:rsid w:val="48901346"/>
    <w:rsid w:val="48E06989"/>
    <w:rsid w:val="48E92C88"/>
    <w:rsid w:val="48EB1D85"/>
    <w:rsid w:val="494C141C"/>
    <w:rsid w:val="49821D8D"/>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EFC3414"/>
    <w:rsid w:val="4F347F09"/>
    <w:rsid w:val="4F35630A"/>
    <w:rsid w:val="4F362E18"/>
    <w:rsid w:val="4F540B41"/>
    <w:rsid w:val="4F547EAA"/>
    <w:rsid w:val="4F832885"/>
    <w:rsid w:val="4F9039FE"/>
    <w:rsid w:val="50075AA9"/>
    <w:rsid w:val="50437224"/>
    <w:rsid w:val="50490678"/>
    <w:rsid w:val="505A512C"/>
    <w:rsid w:val="5098572F"/>
    <w:rsid w:val="50EE5AE2"/>
    <w:rsid w:val="50F018D3"/>
    <w:rsid w:val="50F47A17"/>
    <w:rsid w:val="513D38A6"/>
    <w:rsid w:val="51456AF4"/>
    <w:rsid w:val="515C1DCC"/>
    <w:rsid w:val="51790E28"/>
    <w:rsid w:val="519B6609"/>
    <w:rsid w:val="51B858B2"/>
    <w:rsid w:val="51BE6CEC"/>
    <w:rsid w:val="51C26588"/>
    <w:rsid w:val="51DE4114"/>
    <w:rsid w:val="51F45C0D"/>
    <w:rsid w:val="51F45EC8"/>
    <w:rsid w:val="51FE2E2D"/>
    <w:rsid w:val="520F2ED4"/>
    <w:rsid w:val="521402BD"/>
    <w:rsid w:val="522B39FB"/>
    <w:rsid w:val="52391E5F"/>
    <w:rsid w:val="52414E5C"/>
    <w:rsid w:val="52463FBA"/>
    <w:rsid w:val="524A5D65"/>
    <w:rsid w:val="524C1BBF"/>
    <w:rsid w:val="525533CA"/>
    <w:rsid w:val="529526FC"/>
    <w:rsid w:val="52A17AC6"/>
    <w:rsid w:val="52C04D72"/>
    <w:rsid w:val="52CA35B0"/>
    <w:rsid w:val="52DD15C5"/>
    <w:rsid w:val="52F63B4F"/>
    <w:rsid w:val="53082F2C"/>
    <w:rsid w:val="53131C59"/>
    <w:rsid w:val="53345BA9"/>
    <w:rsid w:val="53396085"/>
    <w:rsid w:val="534C7F1A"/>
    <w:rsid w:val="53670639"/>
    <w:rsid w:val="53B84C8E"/>
    <w:rsid w:val="53F52A77"/>
    <w:rsid w:val="53FD5774"/>
    <w:rsid w:val="5414272D"/>
    <w:rsid w:val="543D5BD4"/>
    <w:rsid w:val="54871B54"/>
    <w:rsid w:val="549F3EDE"/>
    <w:rsid w:val="54AA3CD9"/>
    <w:rsid w:val="54AB67A8"/>
    <w:rsid w:val="54B76615"/>
    <w:rsid w:val="54E37C79"/>
    <w:rsid w:val="54EA3219"/>
    <w:rsid w:val="550118A5"/>
    <w:rsid w:val="557A16A0"/>
    <w:rsid w:val="559A22C4"/>
    <w:rsid w:val="559F228F"/>
    <w:rsid w:val="55B54251"/>
    <w:rsid w:val="55E8090D"/>
    <w:rsid w:val="562A1609"/>
    <w:rsid w:val="563F74A4"/>
    <w:rsid w:val="5656364A"/>
    <w:rsid w:val="566B2E13"/>
    <w:rsid w:val="566B53D2"/>
    <w:rsid w:val="567B1141"/>
    <w:rsid w:val="569A3398"/>
    <w:rsid w:val="56AD7471"/>
    <w:rsid w:val="56EB3361"/>
    <w:rsid w:val="56ED0368"/>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77195"/>
    <w:rsid w:val="59491402"/>
    <w:rsid w:val="594F459C"/>
    <w:rsid w:val="595C25C6"/>
    <w:rsid w:val="595F13E9"/>
    <w:rsid w:val="59785D4E"/>
    <w:rsid w:val="597E2527"/>
    <w:rsid w:val="599D32C2"/>
    <w:rsid w:val="59A84CD5"/>
    <w:rsid w:val="59CA0DF6"/>
    <w:rsid w:val="59D05539"/>
    <w:rsid w:val="59DF0B76"/>
    <w:rsid w:val="59E12D2E"/>
    <w:rsid w:val="59E56E97"/>
    <w:rsid w:val="59EE0B0E"/>
    <w:rsid w:val="5A1B27B8"/>
    <w:rsid w:val="5A41505E"/>
    <w:rsid w:val="5A60385B"/>
    <w:rsid w:val="5A854176"/>
    <w:rsid w:val="5AC608F3"/>
    <w:rsid w:val="5ACA2411"/>
    <w:rsid w:val="5ACD2B39"/>
    <w:rsid w:val="5AE31485"/>
    <w:rsid w:val="5AF626D8"/>
    <w:rsid w:val="5AF62900"/>
    <w:rsid w:val="5AFC40F3"/>
    <w:rsid w:val="5B0D46E9"/>
    <w:rsid w:val="5B22062D"/>
    <w:rsid w:val="5B2B355B"/>
    <w:rsid w:val="5B2F2AAF"/>
    <w:rsid w:val="5B393AB6"/>
    <w:rsid w:val="5B3E3090"/>
    <w:rsid w:val="5B736DFC"/>
    <w:rsid w:val="5B74248A"/>
    <w:rsid w:val="5B7C3A7D"/>
    <w:rsid w:val="5B8675CA"/>
    <w:rsid w:val="5BA652CD"/>
    <w:rsid w:val="5BDA1A02"/>
    <w:rsid w:val="5BDA3815"/>
    <w:rsid w:val="5C100E26"/>
    <w:rsid w:val="5C494AA3"/>
    <w:rsid w:val="5C4C3CC9"/>
    <w:rsid w:val="5C5C59BB"/>
    <w:rsid w:val="5C6A1E8C"/>
    <w:rsid w:val="5C6F3AA2"/>
    <w:rsid w:val="5C7D5093"/>
    <w:rsid w:val="5C85298F"/>
    <w:rsid w:val="5CC66FDB"/>
    <w:rsid w:val="5CDC5778"/>
    <w:rsid w:val="5CE70DB3"/>
    <w:rsid w:val="5CF20C05"/>
    <w:rsid w:val="5CF617C9"/>
    <w:rsid w:val="5D047EE8"/>
    <w:rsid w:val="5D126228"/>
    <w:rsid w:val="5D1949C1"/>
    <w:rsid w:val="5D1F3C0E"/>
    <w:rsid w:val="5D3A42DC"/>
    <w:rsid w:val="5D892868"/>
    <w:rsid w:val="5DCE771F"/>
    <w:rsid w:val="5DD3556C"/>
    <w:rsid w:val="5DE6704B"/>
    <w:rsid w:val="5DEC3B70"/>
    <w:rsid w:val="5DF84369"/>
    <w:rsid w:val="5DF92DCB"/>
    <w:rsid w:val="5E091FB5"/>
    <w:rsid w:val="5E280CB5"/>
    <w:rsid w:val="5E447267"/>
    <w:rsid w:val="5E4A572D"/>
    <w:rsid w:val="5E5667A6"/>
    <w:rsid w:val="5E676802"/>
    <w:rsid w:val="5E6C7C78"/>
    <w:rsid w:val="5E72699B"/>
    <w:rsid w:val="5E7D0FD3"/>
    <w:rsid w:val="5E815CED"/>
    <w:rsid w:val="5E887A26"/>
    <w:rsid w:val="5EB75E1B"/>
    <w:rsid w:val="5EC56393"/>
    <w:rsid w:val="5EF078DD"/>
    <w:rsid w:val="5EFE34A1"/>
    <w:rsid w:val="5F173FD8"/>
    <w:rsid w:val="5F3262F4"/>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4337E1"/>
    <w:rsid w:val="616C655B"/>
    <w:rsid w:val="616E381D"/>
    <w:rsid w:val="61A21ED5"/>
    <w:rsid w:val="61BA5EFD"/>
    <w:rsid w:val="61C7660C"/>
    <w:rsid w:val="61D81BE2"/>
    <w:rsid w:val="61E93AD6"/>
    <w:rsid w:val="620100B1"/>
    <w:rsid w:val="62190F45"/>
    <w:rsid w:val="62193B80"/>
    <w:rsid w:val="621B4181"/>
    <w:rsid w:val="62353B47"/>
    <w:rsid w:val="624076D6"/>
    <w:rsid w:val="628C53F9"/>
    <w:rsid w:val="62902A3B"/>
    <w:rsid w:val="62A20B07"/>
    <w:rsid w:val="62A414E0"/>
    <w:rsid w:val="62CC77CB"/>
    <w:rsid w:val="62F3784F"/>
    <w:rsid w:val="62FF3FB5"/>
    <w:rsid w:val="63021DE2"/>
    <w:rsid w:val="63112339"/>
    <w:rsid w:val="632C2662"/>
    <w:rsid w:val="633A0F04"/>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454F5F"/>
    <w:rsid w:val="6556674F"/>
    <w:rsid w:val="655F2B6C"/>
    <w:rsid w:val="65862CD9"/>
    <w:rsid w:val="6588686F"/>
    <w:rsid w:val="659E46D8"/>
    <w:rsid w:val="65A57048"/>
    <w:rsid w:val="65B50E5A"/>
    <w:rsid w:val="65D54781"/>
    <w:rsid w:val="660867AF"/>
    <w:rsid w:val="662D27C6"/>
    <w:rsid w:val="66452FE9"/>
    <w:rsid w:val="665B5D8A"/>
    <w:rsid w:val="66705F28"/>
    <w:rsid w:val="668D7DF1"/>
    <w:rsid w:val="66D04B5E"/>
    <w:rsid w:val="66D60DB1"/>
    <w:rsid w:val="66E561D8"/>
    <w:rsid w:val="66F00AF0"/>
    <w:rsid w:val="6700750E"/>
    <w:rsid w:val="67580868"/>
    <w:rsid w:val="67610EFA"/>
    <w:rsid w:val="678D5B85"/>
    <w:rsid w:val="67995A29"/>
    <w:rsid w:val="67A00193"/>
    <w:rsid w:val="67DC482A"/>
    <w:rsid w:val="67E55620"/>
    <w:rsid w:val="67EA5494"/>
    <w:rsid w:val="67ED1ADF"/>
    <w:rsid w:val="68091997"/>
    <w:rsid w:val="6815717B"/>
    <w:rsid w:val="6817167F"/>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6B06C3"/>
    <w:rsid w:val="69930E11"/>
    <w:rsid w:val="699C0EF8"/>
    <w:rsid w:val="69AB5DBB"/>
    <w:rsid w:val="69B840F1"/>
    <w:rsid w:val="69C91948"/>
    <w:rsid w:val="6A2826A1"/>
    <w:rsid w:val="6A551347"/>
    <w:rsid w:val="6A5660EE"/>
    <w:rsid w:val="6A5D1911"/>
    <w:rsid w:val="6A9F3407"/>
    <w:rsid w:val="6AA45AEE"/>
    <w:rsid w:val="6AAA05A9"/>
    <w:rsid w:val="6AE60B4C"/>
    <w:rsid w:val="6AEF0670"/>
    <w:rsid w:val="6B022825"/>
    <w:rsid w:val="6B3529D0"/>
    <w:rsid w:val="6B3C6A10"/>
    <w:rsid w:val="6B5B3158"/>
    <w:rsid w:val="6B726A7C"/>
    <w:rsid w:val="6B8902B7"/>
    <w:rsid w:val="6B9954B1"/>
    <w:rsid w:val="6BBA5C26"/>
    <w:rsid w:val="6BC644EC"/>
    <w:rsid w:val="6BD54932"/>
    <w:rsid w:val="6BE963BE"/>
    <w:rsid w:val="6C0F365E"/>
    <w:rsid w:val="6C2E2CA9"/>
    <w:rsid w:val="6C3E3641"/>
    <w:rsid w:val="6C740601"/>
    <w:rsid w:val="6CD85C69"/>
    <w:rsid w:val="6D464DCC"/>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204D90"/>
    <w:rsid w:val="6F37324B"/>
    <w:rsid w:val="6F4B77AB"/>
    <w:rsid w:val="6F5A407F"/>
    <w:rsid w:val="6F9045BD"/>
    <w:rsid w:val="6F991282"/>
    <w:rsid w:val="6FAD4095"/>
    <w:rsid w:val="6FD071A2"/>
    <w:rsid w:val="6FD57D31"/>
    <w:rsid w:val="6FD969D9"/>
    <w:rsid w:val="6FDF42CC"/>
    <w:rsid w:val="700A32D4"/>
    <w:rsid w:val="70512274"/>
    <w:rsid w:val="70520E9C"/>
    <w:rsid w:val="7071512F"/>
    <w:rsid w:val="70836044"/>
    <w:rsid w:val="70963635"/>
    <w:rsid w:val="709E757C"/>
    <w:rsid w:val="70AB6982"/>
    <w:rsid w:val="70B960E4"/>
    <w:rsid w:val="70CE2945"/>
    <w:rsid w:val="710003A8"/>
    <w:rsid w:val="710F0BB8"/>
    <w:rsid w:val="71194261"/>
    <w:rsid w:val="711C5BB5"/>
    <w:rsid w:val="7144689C"/>
    <w:rsid w:val="717E5F2F"/>
    <w:rsid w:val="71885178"/>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13F85"/>
    <w:rsid w:val="72725AF0"/>
    <w:rsid w:val="727E25B6"/>
    <w:rsid w:val="72A264DB"/>
    <w:rsid w:val="72BD48D1"/>
    <w:rsid w:val="72C65D78"/>
    <w:rsid w:val="72D7336E"/>
    <w:rsid w:val="72FD0906"/>
    <w:rsid w:val="7313580C"/>
    <w:rsid w:val="73795D74"/>
    <w:rsid w:val="739509FA"/>
    <w:rsid w:val="73951AC0"/>
    <w:rsid w:val="73A11C0D"/>
    <w:rsid w:val="73A80755"/>
    <w:rsid w:val="73C4164C"/>
    <w:rsid w:val="73CC653A"/>
    <w:rsid w:val="73D159A1"/>
    <w:rsid w:val="73D217D6"/>
    <w:rsid w:val="73F35C20"/>
    <w:rsid w:val="73F8462A"/>
    <w:rsid w:val="741D2D43"/>
    <w:rsid w:val="745F4062"/>
    <w:rsid w:val="74BF0BF4"/>
    <w:rsid w:val="74DF558B"/>
    <w:rsid w:val="74EE1D1B"/>
    <w:rsid w:val="74F826B3"/>
    <w:rsid w:val="75067D82"/>
    <w:rsid w:val="75101474"/>
    <w:rsid w:val="75152359"/>
    <w:rsid w:val="752955C7"/>
    <w:rsid w:val="75473AB6"/>
    <w:rsid w:val="755A639D"/>
    <w:rsid w:val="75612341"/>
    <w:rsid w:val="75882465"/>
    <w:rsid w:val="75CA48E7"/>
    <w:rsid w:val="75E027FD"/>
    <w:rsid w:val="76024C06"/>
    <w:rsid w:val="762E4260"/>
    <w:rsid w:val="765629A7"/>
    <w:rsid w:val="765746C3"/>
    <w:rsid w:val="765B4909"/>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D4433F"/>
    <w:rsid w:val="77ED0386"/>
    <w:rsid w:val="77F72469"/>
    <w:rsid w:val="78366B8C"/>
    <w:rsid w:val="783B287A"/>
    <w:rsid w:val="78482C69"/>
    <w:rsid w:val="7882333B"/>
    <w:rsid w:val="78B43B82"/>
    <w:rsid w:val="78BB76EA"/>
    <w:rsid w:val="78F65C61"/>
    <w:rsid w:val="78FB1BD1"/>
    <w:rsid w:val="79213328"/>
    <w:rsid w:val="7964511F"/>
    <w:rsid w:val="799E7491"/>
    <w:rsid w:val="799F3F47"/>
    <w:rsid w:val="79A72484"/>
    <w:rsid w:val="79BA471D"/>
    <w:rsid w:val="79DF005F"/>
    <w:rsid w:val="79E028EC"/>
    <w:rsid w:val="79F10D10"/>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710AB"/>
    <w:rsid w:val="7C7E27D3"/>
    <w:rsid w:val="7C7F3629"/>
    <w:rsid w:val="7C8B7A6D"/>
    <w:rsid w:val="7C90110D"/>
    <w:rsid w:val="7C9B6AF6"/>
    <w:rsid w:val="7CA34622"/>
    <w:rsid w:val="7CE0762D"/>
    <w:rsid w:val="7D2F6FF7"/>
    <w:rsid w:val="7D303FCF"/>
    <w:rsid w:val="7D332F6D"/>
    <w:rsid w:val="7D3D587B"/>
    <w:rsid w:val="7D4435DF"/>
    <w:rsid w:val="7D694213"/>
    <w:rsid w:val="7D6E6D2F"/>
    <w:rsid w:val="7DB838C8"/>
    <w:rsid w:val="7DC23C3E"/>
    <w:rsid w:val="7DCA5633"/>
    <w:rsid w:val="7DF46E1B"/>
    <w:rsid w:val="7E0464CE"/>
    <w:rsid w:val="7E202324"/>
    <w:rsid w:val="7E222468"/>
    <w:rsid w:val="7E2C2660"/>
    <w:rsid w:val="7E476D34"/>
    <w:rsid w:val="7E6D6DAE"/>
    <w:rsid w:val="7E9B11AA"/>
    <w:rsid w:val="7EA32AD0"/>
    <w:rsid w:val="7ED953E3"/>
    <w:rsid w:val="7EF765D0"/>
    <w:rsid w:val="7EF87C96"/>
    <w:rsid w:val="7F301B1E"/>
    <w:rsid w:val="7F375D0A"/>
    <w:rsid w:val="7F500CBA"/>
    <w:rsid w:val="7F587DE1"/>
    <w:rsid w:val="7F61016D"/>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Cs w:val="22"/>
      <w:lang w:val="en-US" w:eastAsia="zh-CN" w:bidi="ar-SA"/>
    </w:rPr>
  </w:style>
  <w:style w:type="paragraph" w:styleId="2">
    <w:name w:val="heading 1"/>
    <w:basedOn w:val="1"/>
    <w:next w:val="1"/>
    <w:link w:val="61"/>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60"/>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spacing w:after="0"/>
      <w:outlineLvl w:val="4"/>
    </w:pPr>
    <w:rPr>
      <w:rFonts w:hint="eastAsia" w:ascii="宋体" w:hAnsi="宋体"/>
      <w:color w:val="666666"/>
      <w:szCs w:val="20"/>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jc w:val="both"/>
    </w:pPr>
    <w:rPr>
      <w:kern w:val="2"/>
      <w:sz w:val="21"/>
      <w:szCs w:val="20"/>
    </w:rPr>
  </w:style>
  <w:style w:type="paragraph" w:styleId="15">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6">
    <w:name w:val="Document Map"/>
    <w:basedOn w:val="1"/>
    <w:link w:val="58"/>
    <w:unhideWhenUsed/>
    <w:qFormat/>
    <w:uiPriority w:val="99"/>
    <w:rPr>
      <w:rFonts w:ascii="宋体"/>
      <w:sz w:val="18"/>
      <w:szCs w:val="18"/>
    </w:rPr>
  </w:style>
  <w:style w:type="paragraph" w:styleId="17">
    <w:name w:val="annotation text"/>
    <w:basedOn w:val="1"/>
    <w:link w:val="50"/>
    <w:unhideWhenUsed/>
    <w:qFormat/>
    <w:uiPriority w:val="0"/>
    <w:rPr>
      <w:szCs w:val="20"/>
    </w:rPr>
  </w:style>
  <w:style w:type="paragraph" w:styleId="18">
    <w:name w:val="Body Text"/>
    <w:basedOn w:val="1"/>
    <w:link w:val="51"/>
    <w:qFormat/>
    <w:uiPriority w:val="0"/>
    <w:pPr>
      <w:widowControl w:val="0"/>
      <w:spacing w:after="0" w:line="240" w:lineRule="auto"/>
      <w:jc w:val="both"/>
    </w:pPr>
    <w:rPr>
      <w:color w:val="0000FF"/>
      <w:kern w:val="2"/>
      <w:sz w:val="21"/>
      <w:szCs w:val="20"/>
    </w:rPr>
  </w:style>
  <w:style w:type="paragraph" w:styleId="19">
    <w:name w:val="Balloon Text"/>
    <w:basedOn w:val="1"/>
    <w:link w:val="54"/>
    <w:unhideWhenUsed/>
    <w:qFormat/>
    <w:uiPriority w:val="99"/>
    <w:pPr>
      <w:spacing w:after="0" w:line="240" w:lineRule="auto"/>
    </w:pPr>
    <w:rPr>
      <w:rFonts w:ascii="Tahoma" w:hAnsi="Tahoma"/>
      <w:sz w:val="16"/>
      <w:szCs w:val="16"/>
    </w:rPr>
  </w:style>
  <w:style w:type="paragraph" w:styleId="20">
    <w:name w:val="footer"/>
    <w:basedOn w:val="1"/>
    <w:qFormat/>
    <w:uiPriority w:val="0"/>
    <w:pPr>
      <w:tabs>
        <w:tab w:val="center" w:pos="4153"/>
        <w:tab w:val="right" w:pos="8306"/>
      </w:tabs>
      <w:snapToGrid w:val="0"/>
      <w:spacing w:line="240" w:lineRule="auto"/>
    </w:pPr>
    <w:rPr>
      <w:sz w:val="18"/>
      <w:szCs w:val="18"/>
    </w:rPr>
  </w:style>
  <w:style w:type="paragraph" w:styleId="21">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22">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3">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4">
    <w:name w:val="annotation subject"/>
    <w:basedOn w:val="17"/>
    <w:next w:val="17"/>
    <w:link w:val="37"/>
    <w:unhideWhenUsed/>
    <w:qFormat/>
    <w:uiPriority w:val="99"/>
    <w:rPr>
      <w:b/>
      <w:bCs/>
    </w:rPr>
  </w:style>
  <w:style w:type="table" w:styleId="26">
    <w:name w:val="Table Grid"/>
    <w:basedOn w:val="25"/>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7">
    <w:name w:val="Medium Grid 1 Accent 2"/>
    <w:basedOn w:val="25"/>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9">
    <w:name w:val="Strong"/>
    <w:qFormat/>
    <w:uiPriority w:val="22"/>
    <w:rPr>
      <w:b/>
    </w:rPr>
  </w:style>
  <w:style w:type="character" w:styleId="30">
    <w:name w:val="page number"/>
    <w:basedOn w:val="28"/>
    <w:semiHidden/>
    <w:qFormat/>
    <w:uiPriority w:val="0"/>
  </w:style>
  <w:style w:type="character" w:styleId="31">
    <w:name w:val="FollowedHyperlink"/>
    <w:unhideWhenUsed/>
    <w:qFormat/>
    <w:uiPriority w:val="99"/>
    <w:rPr>
      <w:color w:val="2779B6"/>
      <w:u w:val="single"/>
    </w:rPr>
  </w:style>
  <w:style w:type="character" w:styleId="32">
    <w:name w:val="Emphasis"/>
    <w:qFormat/>
    <w:uiPriority w:val="0"/>
    <w:rPr>
      <w:i/>
    </w:rPr>
  </w:style>
  <w:style w:type="character" w:styleId="33">
    <w:name w:val="Hyperlink"/>
    <w:unhideWhenUsed/>
    <w:qFormat/>
    <w:uiPriority w:val="99"/>
    <w:rPr>
      <w:color w:val="2779B6"/>
      <w:u w:val="single"/>
    </w:rPr>
  </w:style>
  <w:style w:type="character" w:styleId="34">
    <w:name w:val="annotation reference"/>
    <w:unhideWhenUsed/>
    <w:qFormat/>
    <w:uiPriority w:val="0"/>
    <w:rPr>
      <w:sz w:val="16"/>
      <w:szCs w:val="16"/>
    </w:rPr>
  </w:style>
  <w:style w:type="character" w:styleId="35">
    <w:name w:val="footnote reference"/>
    <w:semiHidden/>
    <w:qFormat/>
    <w:uiPriority w:val="0"/>
    <w:rPr>
      <w:b/>
      <w:position w:val="6"/>
      <w:sz w:val="16"/>
    </w:rPr>
  </w:style>
  <w:style w:type="character" w:customStyle="1" w:styleId="36">
    <w:name w:val="Header Char"/>
    <w:link w:val="21"/>
    <w:qFormat/>
    <w:uiPriority w:val="0"/>
    <w:rPr>
      <w:rFonts w:ascii="Arial" w:hAnsi="Arial" w:eastAsia="MS Mincho"/>
      <w:b/>
      <w:szCs w:val="24"/>
      <w:lang w:eastAsia="en-US"/>
    </w:rPr>
  </w:style>
  <w:style w:type="character" w:customStyle="1" w:styleId="37">
    <w:name w:val="Comment Subject Char"/>
    <w:link w:val="24"/>
    <w:semiHidden/>
    <w:qFormat/>
    <w:uiPriority w:val="99"/>
    <w:rPr>
      <w:b/>
      <w:bCs/>
    </w:rPr>
  </w:style>
  <w:style w:type="character" w:customStyle="1" w:styleId="38">
    <w:name w:val="Footnote Text Char"/>
    <w:link w:val="22"/>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8"/>
    <w:qFormat/>
    <w:uiPriority w:val="0"/>
  </w:style>
  <w:style w:type="character" w:customStyle="1" w:styleId="45">
    <w:name w:val="Caption Char"/>
    <w:link w:val="15"/>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3"/>
    <w:link w:val="46"/>
    <w:qFormat/>
    <w:uiPriority w:val="99"/>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8"/>
    <w:link w:val="17"/>
    <w:qFormat/>
    <w:uiPriority w:val="0"/>
  </w:style>
  <w:style w:type="character" w:customStyle="1" w:styleId="51">
    <w:name w:val="Body Text Char"/>
    <w:link w:val="18"/>
    <w:qFormat/>
    <w:uiPriority w:val="0"/>
    <w:rPr>
      <w:rFonts w:ascii="Times New Roman" w:hAnsi="Times New Roman"/>
      <w:color w:val="0000FF"/>
      <w:kern w:val="2"/>
      <w:sz w:val="21"/>
    </w:rPr>
  </w:style>
  <w:style w:type="character" w:customStyle="1" w:styleId="52">
    <w:name w:val="def"/>
    <w:basedOn w:val="28"/>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9"/>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8"/>
    <w:qFormat/>
    <w:uiPriority w:val="0"/>
  </w:style>
  <w:style w:type="character" w:customStyle="1" w:styleId="58">
    <w:name w:val="Document Map Char"/>
    <w:link w:val="16"/>
    <w:semiHidden/>
    <w:qFormat/>
    <w:uiPriority w:val="99"/>
    <w:rPr>
      <w:rFonts w:ascii="宋体"/>
      <w:sz w:val="18"/>
      <w:szCs w:val="18"/>
    </w:rPr>
  </w:style>
  <w:style w:type="character" w:customStyle="1" w:styleId="59">
    <w:name w:val="high-light"/>
    <w:basedOn w:val="28"/>
    <w:qFormat/>
    <w:uiPriority w:val="0"/>
  </w:style>
  <w:style w:type="character" w:customStyle="1" w:styleId="60">
    <w:name w:val="Heading 3 Char"/>
    <w:link w:val="4"/>
    <w:qFormat/>
    <w:uiPriority w:val="9"/>
    <w:rPr>
      <w:b/>
      <w:bCs/>
      <w:sz w:val="32"/>
      <w:szCs w:val="32"/>
    </w:rPr>
  </w:style>
  <w:style w:type="character" w:customStyle="1" w:styleId="61">
    <w:name w:val="Heading 1 Char"/>
    <w:link w:val="2"/>
    <w:qFormat/>
    <w:uiPriority w:val="99"/>
    <w:rPr>
      <w:rFonts w:ascii="Arial" w:hAnsi="Arial" w:eastAsia="黑体"/>
      <w:b/>
      <w:bCs/>
      <w:sz w:val="30"/>
      <w:szCs w:val="30"/>
      <w:lang w:val="zh-CN"/>
    </w:rPr>
  </w:style>
  <w:style w:type="character" w:customStyle="1" w:styleId="62">
    <w:name w:val="pos"/>
    <w:basedOn w:val="28"/>
    <w:qFormat/>
    <w:uiPriority w:val="0"/>
  </w:style>
  <w:style w:type="character" w:customStyle="1" w:styleId="63">
    <w:name w:val="apple-style-span"/>
    <w:basedOn w:val="28"/>
    <w:qFormat/>
    <w:uiPriority w:val="0"/>
  </w:style>
  <w:style w:type="character" w:customStyle="1" w:styleId="64">
    <w:name w:val="ZGSM"/>
    <w:qFormat/>
    <w:uiPriority w:val="0"/>
  </w:style>
  <w:style w:type="paragraph" w:customStyle="1" w:styleId="65">
    <w:name w:val="TAH"/>
    <w:basedOn w:val="42"/>
    <w:link w:val="92"/>
    <w:qFormat/>
    <w:uiPriority w:val="0"/>
    <w:rPr>
      <w:b/>
    </w:rPr>
  </w:style>
  <w:style w:type="paragraph" w:customStyle="1" w:styleId="66">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7">
    <w:name w:val="RAN1 bullet2"/>
    <w:basedOn w:val="1"/>
    <w:qFormat/>
    <w:uiPriority w:val="0"/>
    <w:pPr>
      <w:numPr>
        <w:ilvl w:val="1"/>
        <w:numId w:val="2"/>
      </w:numPr>
    </w:pPr>
    <w:rPr>
      <w:szCs w:val="20"/>
    </w:rPr>
  </w:style>
  <w:style w:type="paragraph" w:customStyle="1" w:styleId="68">
    <w:name w:val="PaperTableCell"/>
    <w:basedOn w:val="1"/>
    <w:qFormat/>
    <w:uiPriority w:val="0"/>
    <w:pPr>
      <w:spacing w:after="0" w:line="240" w:lineRule="auto"/>
      <w:jc w:val="both"/>
    </w:pPr>
    <w:rPr>
      <w:rFonts w:eastAsia="Times New Roman"/>
      <w:sz w:val="16"/>
      <w:szCs w:val="24"/>
      <w:lang w:eastAsia="en-US"/>
    </w:rPr>
  </w:style>
  <w:style w:type="paragraph" w:customStyle="1" w:styleId="69">
    <w:name w:val="CR Cover Page"/>
    <w:qFormat/>
    <w:uiPriority w:val="0"/>
    <w:pPr>
      <w:spacing w:after="120" w:line="259" w:lineRule="auto"/>
    </w:pPr>
    <w:rPr>
      <w:rFonts w:ascii="Arial" w:hAnsi="Arial" w:eastAsia="MS Mincho" w:cs="Times New Roman"/>
      <w:lang w:val="en-GB" w:eastAsia="en-US" w:bidi="ar-SA"/>
    </w:rPr>
  </w:style>
  <w:style w:type="paragraph" w:customStyle="1" w:styleId="70">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1">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2">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3">
    <w:name w:val="RAN1 bullet3"/>
    <w:basedOn w:val="67"/>
    <w:qFormat/>
    <w:uiPriority w:val="0"/>
    <w:pPr>
      <w:numPr>
        <w:ilvl w:val="2"/>
        <w:numId w:val="3"/>
      </w:numPr>
    </w:pPr>
  </w:style>
  <w:style w:type="paragraph" w:customStyle="1" w:styleId="74">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6">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7">
    <w:name w:val="RAN1 bullet1"/>
    <w:basedOn w:val="1"/>
    <w:link w:val="94"/>
    <w:qFormat/>
    <w:uiPriority w:val="0"/>
    <w:pPr>
      <w:numPr>
        <w:ilvl w:val="0"/>
        <w:numId w:val="4"/>
      </w:numPr>
    </w:pPr>
  </w:style>
  <w:style w:type="paragraph" w:customStyle="1" w:styleId="78">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9">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0">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1">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2">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3">
    <w:name w:val="RAN1 text"/>
    <w:basedOn w:val="18"/>
    <w:link w:val="93"/>
    <w:qFormat/>
    <w:uiPriority w:val="0"/>
    <w:rPr>
      <w:rFonts w:eastAsia="MS Mincho"/>
    </w:rPr>
  </w:style>
  <w:style w:type="paragraph" w:customStyle="1" w:styleId="84">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5">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7">
    <w:name w:val="List Paragraph1"/>
    <w:basedOn w:val="1"/>
    <w:qFormat/>
    <w:uiPriority w:val="34"/>
    <w:pPr>
      <w:widowControl w:val="0"/>
      <w:spacing w:after="0" w:line="240" w:lineRule="auto"/>
      <w:ind w:firstLine="420" w:firstLineChars="200"/>
      <w:jc w:val="both"/>
    </w:pPr>
    <w:rPr>
      <w:kern w:val="2"/>
      <w:sz w:val="21"/>
    </w:rPr>
  </w:style>
  <w:style w:type="table" w:customStyle="1" w:styleId="88">
    <w:name w:val="网格型1"/>
    <w:basedOn w:val="25"/>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9">
    <w:name w:val="B1 Zchn"/>
    <w:qFormat/>
    <w:uiPriority w:val="0"/>
    <w:rPr>
      <w:lang w:val="en-GB" w:eastAsia="en-US"/>
    </w:rPr>
  </w:style>
  <w:style w:type="paragraph" w:customStyle="1" w:styleId="90">
    <w:name w:val="text"/>
    <w:basedOn w:val="1"/>
    <w:link w:val="91"/>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1">
    <w:name w:val="text Char"/>
    <w:link w:val="90"/>
    <w:qFormat/>
    <w:uiPriority w:val="0"/>
    <w:rPr>
      <w:sz w:val="24"/>
      <w:lang w:val="en-AU" w:eastAsia="en-GB"/>
    </w:rPr>
  </w:style>
  <w:style w:type="character" w:customStyle="1" w:styleId="92">
    <w:name w:val="TAH Car"/>
    <w:link w:val="65"/>
    <w:qFormat/>
    <w:uiPriority w:val="0"/>
    <w:rPr>
      <w:rFonts w:ascii="Arial" w:hAnsi="Arial" w:eastAsia="Times New Roman"/>
      <w:b/>
      <w:sz w:val="18"/>
      <w:lang w:val="en-GB" w:eastAsia="en-GB"/>
    </w:rPr>
  </w:style>
  <w:style w:type="character" w:customStyle="1" w:styleId="93">
    <w:name w:val="RAN1 text Char"/>
    <w:link w:val="83"/>
    <w:qFormat/>
    <w:uiPriority w:val="0"/>
    <w:rPr>
      <w:rFonts w:eastAsia="MS Mincho"/>
      <w:color w:val="0000FF"/>
      <w:kern w:val="2"/>
      <w:sz w:val="21"/>
    </w:rPr>
  </w:style>
  <w:style w:type="character" w:customStyle="1" w:styleId="94">
    <w:name w:val="RAN1 bullet1 Char"/>
    <w:link w:val="77"/>
    <w:qFormat/>
    <w:uiPriority w:val="0"/>
    <w:rPr>
      <w:sz w:val="22"/>
      <w:szCs w:val="22"/>
    </w:rPr>
  </w:style>
  <w:style w:type="character" w:customStyle="1" w:styleId="95">
    <w:name w:val="列出段落 Char"/>
    <w:link w:val="96"/>
    <w:qFormat/>
    <w:locked/>
    <w:uiPriority w:val="34"/>
    <w:rPr>
      <w:rFonts w:ascii="Times" w:hAnsi="Times" w:cs="Times"/>
      <w:szCs w:val="24"/>
      <w:lang w:val="en-GB" w:eastAsia="zh-CN"/>
    </w:rPr>
  </w:style>
  <w:style w:type="paragraph" w:customStyle="1" w:styleId="96">
    <w:name w:val="列出段落1"/>
    <w:basedOn w:val="1"/>
    <w:link w:val="95"/>
    <w:qFormat/>
    <w:uiPriority w:val="34"/>
    <w:pPr>
      <w:spacing w:after="0" w:line="240" w:lineRule="auto"/>
      <w:ind w:left="840" w:leftChars="400" w:hanging="720"/>
    </w:pPr>
    <w:rPr>
      <w:rFonts w:ascii="Times" w:hAnsi="Times" w:cs="Times"/>
      <w:szCs w:val="24"/>
      <w:lang w:val="en-GB"/>
    </w:rPr>
  </w:style>
  <w:style w:type="paragraph" w:customStyle="1" w:styleId="97">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8">
    <w:name w:val="占位符文本1"/>
    <w:basedOn w:val="28"/>
    <w:unhideWhenUsed/>
    <w:qFormat/>
    <w:uiPriority w:val="99"/>
    <w:rPr>
      <w:color w:val="808080"/>
    </w:rPr>
  </w:style>
  <w:style w:type="paragraph" w:customStyle="1" w:styleId="99">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styleId="100">
    <w:name w:val="Placeholder Text"/>
    <w:basedOn w:val="28"/>
    <w:semiHidden/>
    <w:qFormat/>
    <w:uiPriority w:val="99"/>
    <w:rPr>
      <w:color w:val="808080"/>
    </w:rPr>
  </w:style>
  <w:style w:type="paragraph" w:styleId="101">
    <w:name w:val="List Paragraph"/>
    <w:basedOn w:val="1"/>
    <w:link w:val="115"/>
    <w:qFormat/>
    <w:uiPriority w:val="34"/>
    <w:pPr>
      <w:ind w:firstLine="420" w:firstLineChars="200"/>
    </w:pPr>
  </w:style>
  <w:style w:type="paragraph" w:customStyle="1" w:styleId="102">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3">
    <w:name w:val="样式1"/>
    <w:basedOn w:val="1"/>
    <w:link w:val="104"/>
    <w:qFormat/>
    <w:uiPriority w:val="0"/>
    <w:pPr>
      <w:snapToGrid w:val="0"/>
      <w:spacing w:before="120" w:after="120" w:afterLines="50" w:line="240" w:lineRule="auto"/>
      <w:jc w:val="both"/>
    </w:pPr>
    <w:rPr>
      <w:rFonts w:eastAsia="微软雅黑"/>
      <w:b/>
    </w:rPr>
  </w:style>
  <w:style w:type="character" w:customStyle="1" w:styleId="104">
    <w:name w:val="样式1 Char"/>
    <w:basedOn w:val="28"/>
    <w:link w:val="103"/>
    <w:qFormat/>
    <w:uiPriority w:val="0"/>
    <w:rPr>
      <w:rFonts w:eastAsia="微软雅黑"/>
      <w:b/>
      <w:sz w:val="22"/>
      <w:szCs w:val="22"/>
    </w:rPr>
  </w:style>
  <w:style w:type="paragraph" w:customStyle="1" w:styleId="105">
    <w:name w:val="Style1"/>
    <w:basedOn w:val="1"/>
    <w:link w:val="106"/>
    <w:qFormat/>
    <w:uiPriority w:val="0"/>
    <w:pPr>
      <w:spacing w:after="180" w:line="288" w:lineRule="auto"/>
      <w:ind w:firstLine="360"/>
      <w:jc w:val="both"/>
    </w:pPr>
    <w:rPr>
      <w:rFonts w:eastAsia="Malgun Gothic" w:cs="Batang"/>
      <w:szCs w:val="20"/>
      <w:lang w:val="en-GB" w:eastAsia="en-US"/>
    </w:rPr>
  </w:style>
  <w:style w:type="character" w:customStyle="1" w:styleId="106">
    <w:name w:val="Style1 Char"/>
    <w:link w:val="105"/>
    <w:qFormat/>
    <w:uiPriority w:val="0"/>
    <w:rPr>
      <w:rFonts w:eastAsia="Malgun Gothic" w:cs="Batang"/>
      <w:lang w:val="en-GB" w:eastAsia="en-US"/>
    </w:rPr>
  </w:style>
  <w:style w:type="paragraph" w:customStyle="1" w:styleId="107">
    <w:name w:val="0 Main text"/>
    <w:basedOn w:val="49"/>
    <w:qFormat/>
    <w:uiPriority w:val="0"/>
    <w:pPr>
      <w:spacing w:before="0" w:after="100" w:afterAutospacing="1"/>
      <w:ind w:firstLine="360" w:firstLineChars="0"/>
    </w:pPr>
    <w:rPr>
      <w:rFonts w:cs="Batang"/>
      <w:lang w:eastAsia="en-US"/>
    </w:rPr>
  </w:style>
  <w:style w:type="paragraph" w:customStyle="1" w:styleId="108">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9">
    <w:name w:val="B2"/>
    <w:basedOn w:val="12"/>
    <w:link w:val="113"/>
    <w:qFormat/>
    <w:uiPriority w:val="0"/>
    <w:pPr>
      <w:ind w:hanging="284"/>
    </w:pPr>
    <w:rPr>
      <w:lang w:val="zh-CN"/>
    </w:rPr>
  </w:style>
  <w:style w:type="paragraph" w:customStyle="1" w:styleId="110">
    <w:name w:val="B3"/>
    <w:basedOn w:val="11"/>
    <w:link w:val="114"/>
    <w:qFormat/>
    <w:uiPriority w:val="0"/>
    <w:pPr>
      <w:ind w:hanging="284"/>
    </w:pPr>
  </w:style>
  <w:style w:type="paragraph" w:customStyle="1" w:styleId="111">
    <w:name w:val="B4"/>
    <w:basedOn w:val="1"/>
    <w:qFormat/>
    <w:uiPriority w:val="0"/>
    <w:pPr>
      <w:ind w:left="1418" w:hanging="284"/>
    </w:pPr>
  </w:style>
  <w:style w:type="paragraph" w:customStyle="1" w:styleId="112">
    <w:name w:val="B5"/>
    <w:basedOn w:val="1"/>
    <w:qFormat/>
    <w:uiPriority w:val="0"/>
    <w:pPr>
      <w:ind w:left="1702" w:hanging="284"/>
    </w:pPr>
  </w:style>
  <w:style w:type="character" w:customStyle="1" w:styleId="113">
    <w:name w:val="B2 Char"/>
    <w:link w:val="109"/>
    <w:qFormat/>
    <w:locked/>
    <w:uiPriority w:val="0"/>
    <w:rPr>
      <w:szCs w:val="22"/>
      <w:lang w:val="zh-CN"/>
    </w:rPr>
  </w:style>
  <w:style w:type="character" w:customStyle="1" w:styleId="114">
    <w:name w:val="B3 Char"/>
    <w:link w:val="110"/>
    <w:qFormat/>
    <w:uiPriority w:val="0"/>
    <w:rPr>
      <w:szCs w:val="22"/>
    </w:rPr>
  </w:style>
  <w:style w:type="character" w:customStyle="1" w:styleId="115">
    <w:name w:val="List Paragraph Char"/>
    <w:link w:val="101"/>
    <w:qFormat/>
    <w:uiPriority w:val="34"/>
    <w:rPr>
      <w:szCs w:val="22"/>
    </w:rPr>
  </w:style>
  <w:style w:type="character" w:customStyle="1" w:styleId="116">
    <w:name w:val="B1 Char1"/>
    <w:qFormat/>
    <w:uiPriority w:val="0"/>
    <w:rPr>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oleObject" Target="embeddings/oleObject2.bin"/><Relationship Id="rId7" Type="http://schemas.openxmlformats.org/officeDocument/2006/relationships/image" Target="media/image3.wmf"/><Relationship Id="rId6" Type="http://schemas.openxmlformats.org/officeDocument/2006/relationships/image" Target="media/image2.emf"/><Relationship Id="rId5" Type="http://schemas.openxmlformats.org/officeDocument/2006/relationships/oleObject" Target="embeddings/oleObject1.bin"/><Relationship Id="rId4" Type="http://schemas.openxmlformats.org/officeDocument/2006/relationships/image" Target="media/image1.wmf"/><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image" Target="media/image7.wmf"/><Relationship Id="rId14" Type="http://schemas.openxmlformats.org/officeDocument/2006/relationships/oleObject" Target="embeddings/oleObject5.bin"/><Relationship Id="rId13" Type="http://schemas.openxmlformats.org/officeDocument/2006/relationships/image" Target="media/image6.wmf"/><Relationship Id="rId12" Type="http://schemas.openxmlformats.org/officeDocument/2006/relationships/oleObject" Target="embeddings/oleObject4.bin"/><Relationship Id="rId11" Type="http://schemas.openxmlformats.org/officeDocument/2006/relationships/image" Target="media/image5.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B37F1A-C1BF-49E2-AF03-94EB1EB4AF3C}">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3</Pages>
  <Words>876</Words>
  <Characters>4995</Characters>
  <Lines>41</Lines>
  <Paragraphs>11</Paragraphs>
  <TotalTime>114</TotalTime>
  <ScaleCrop>false</ScaleCrop>
  <LinksUpToDate>false</LinksUpToDate>
  <CharactersWithSpaces>5860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2021-01-07T08:16:00Z</dcterms:created>
  <dc:creator>ZTE</dc:creator>
  <cp:lastModifiedBy>ZTE</cp:lastModifiedBy>
  <dcterms:modified xsi:type="dcterms:W3CDTF">2021-08-03T07:12:51Z</dcterms:modified>
  <dc:title>3GPP TSG-RAN WG1</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